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header32.xml" ContentType="application/vnd.openxmlformats-officedocument.wordprocessingml.header+xml"/>
  <Override PartName="/word/footer26.xml" ContentType="application/vnd.openxmlformats-officedocument.wordprocessingml.footer+xml"/>
  <Override PartName="/word/stylesWithEffects.xml" ContentType="application/vnd.ms-word.stylesWithEffects+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header30.xml" ContentType="application/vnd.openxmlformats-officedocument.wordprocessingml.header+xml"/>
  <Override PartName="/word/footer2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Default Extension="jpeg" ContentType="image/jpeg"/>
  <Default Extension="emf" ContentType="image/x-emf"/>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header3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header31.xml" ContentType="application/vnd.openxmlformats-officedocument.wordprocessingml.header+xml"/>
  <Override PartName="/word/footer2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298" w:rsidRPr="00B71D90" w:rsidRDefault="00562298" w:rsidP="00562298">
      <w:pPr>
        <w:pStyle w:val="Heading2"/>
        <w:pBdr>
          <w:bottom w:val="single" w:sz="4" w:space="1" w:color="auto"/>
        </w:pBdr>
        <w:tabs>
          <w:tab w:val="right" w:pos="9720"/>
        </w:tabs>
        <w:jc w:val="left"/>
        <w:rPr>
          <w:i w:val="0"/>
          <w:sz w:val="48"/>
        </w:rPr>
      </w:pPr>
      <w:bookmarkStart w:id="0" w:name="_Toc380816084"/>
      <w:bookmarkStart w:id="1" w:name="_Toc380816569"/>
      <w:bookmarkStart w:id="2" w:name="_Toc380817248"/>
      <w:bookmarkStart w:id="3" w:name="_Toc380833032"/>
      <w:bookmarkStart w:id="4" w:name="_Toc380833626"/>
      <w:bookmarkStart w:id="5" w:name="_Toc380836475"/>
      <w:bookmarkStart w:id="6" w:name="_Toc380893062"/>
      <w:bookmarkStart w:id="7" w:name="_Toc380893518"/>
      <w:bookmarkStart w:id="8" w:name="_Toc380893765"/>
      <w:bookmarkStart w:id="9" w:name="_Toc380893991"/>
      <w:bookmarkStart w:id="10" w:name="_Toc380911841"/>
      <w:bookmarkStart w:id="11" w:name="_Toc380912279"/>
      <w:bookmarkStart w:id="12" w:name="_Toc403469623"/>
      <w:r w:rsidRPr="00B71D90">
        <w:rPr>
          <w:i w:val="0"/>
          <w:sz w:val="48"/>
        </w:rPr>
        <w:t>HEDIS</w:t>
      </w:r>
      <w:r w:rsidRPr="00B71D90">
        <w:rPr>
          <w:i w:val="0"/>
          <w:sz w:val="48"/>
          <w:vertAlign w:val="superscript"/>
        </w:rPr>
        <w:t>®</w:t>
      </w:r>
      <w:r w:rsidRPr="00B71D90">
        <w:rPr>
          <w:i w:val="0"/>
          <w:sz w:val="48"/>
        </w:rPr>
        <w:br/>
        <w:t>20</w:t>
      </w:r>
      <w:r w:rsidR="00CE6A2F" w:rsidRPr="00B71D90">
        <w:rPr>
          <w:i w:val="0"/>
          <w:sz w:val="48"/>
        </w:rPr>
        <w:t>1</w:t>
      </w:r>
      <w:r w:rsidR="003C4CE7">
        <w:rPr>
          <w:i w:val="0"/>
          <w:sz w:val="48"/>
        </w:rPr>
        <w:t>3</w:t>
      </w:r>
      <w:r w:rsidRPr="00B71D90">
        <w:rPr>
          <w:i w:val="0"/>
          <w:sz w:val="48"/>
        </w:rPr>
        <w:t xml:space="preserve"> </w:t>
      </w:r>
      <w:r w:rsidRPr="00B71D90">
        <w:rPr>
          <w:i w:val="0"/>
          <w:sz w:val="48"/>
        </w:rPr>
        <w:tab/>
        <w:t>Volume 5</w:t>
      </w:r>
    </w:p>
    <w:p w:rsidR="00562298" w:rsidRPr="00B71D90" w:rsidRDefault="00562298" w:rsidP="00ED5A80">
      <w:pPr>
        <w:pStyle w:val="Breakpage"/>
      </w:pPr>
    </w:p>
    <w:p w:rsidR="00562298" w:rsidRPr="00B71D90" w:rsidRDefault="00562298" w:rsidP="00ED5A80">
      <w:pPr>
        <w:pStyle w:val="Breakpage"/>
      </w:pPr>
    </w:p>
    <w:p w:rsidR="00562298" w:rsidRPr="00B71D90" w:rsidRDefault="00562298" w:rsidP="00ED5A80">
      <w:pPr>
        <w:pStyle w:val="Breakpage"/>
      </w:pPr>
    </w:p>
    <w:p w:rsidR="00562298" w:rsidRPr="00B71D90" w:rsidRDefault="00562298" w:rsidP="00ED5A80">
      <w:pPr>
        <w:pStyle w:val="Breakpage"/>
      </w:pPr>
    </w:p>
    <w:p w:rsidR="00562298" w:rsidRPr="00B71D90" w:rsidRDefault="00562298" w:rsidP="00ED5A80">
      <w:pPr>
        <w:pStyle w:val="Breakpage"/>
      </w:pPr>
    </w:p>
    <w:p w:rsidR="00562298" w:rsidRPr="00B71D90" w:rsidRDefault="00562298" w:rsidP="00ED5A80">
      <w:pPr>
        <w:pStyle w:val="Breakpage"/>
        <w:rPr>
          <w:sz w:val="56"/>
        </w:rPr>
      </w:pPr>
      <w:r w:rsidRPr="00B71D90">
        <w:rPr>
          <w:sz w:val="56"/>
        </w:rPr>
        <w:t>HEDIS Compliance Audit™:</w:t>
      </w:r>
    </w:p>
    <w:p w:rsidR="00562298" w:rsidRPr="00B71D90" w:rsidRDefault="00562298" w:rsidP="00ED5A80">
      <w:pPr>
        <w:pStyle w:val="Breakpage"/>
        <w:rPr>
          <w:sz w:val="56"/>
        </w:rPr>
      </w:pPr>
      <w:r w:rsidRPr="00B71D90">
        <w:rPr>
          <w:sz w:val="56"/>
        </w:rPr>
        <w:t>Standards, Policies and Procedures</w:t>
      </w:r>
    </w:p>
    <w:p w:rsidR="00562298" w:rsidRPr="00B71D90" w:rsidRDefault="00562298" w:rsidP="00ED5A80">
      <w:pPr>
        <w:pStyle w:val="Body"/>
        <w:spacing w:before="0"/>
      </w:pPr>
    </w:p>
    <w:p w:rsidR="00562298" w:rsidRPr="00B71D90" w:rsidRDefault="00562298" w:rsidP="00ED5A80">
      <w:pPr>
        <w:pStyle w:val="Body"/>
        <w:spacing w:before="0"/>
      </w:pPr>
    </w:p>
    <w:p w:rsidR="00562298" w:rsidRPr="00B71D90" w:rsidRDefault="00562298"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562298" w:rsidRPr="00B71D90" w:rsidRDefault="00562298" w:rsidP="00ED5A80">
      <w:pPr>
        <w:pStyle w:val="Body"/>
        <w:spacing w:before="0"/>
      </w:pPr>
    </w:p>
    <w:p w:rsidR="00562298" w:rsidRPr="00B71D90" w:rsidRDefault="00562298" w:rsidP="00ED5A80">
      <w:pPr>
        <w:pStyle w:val="Body"/>
        <w:spacing w:before="0"/>
      </w:pPr>
    </w:p>
    <w:p w:rsidR="00562298" w:rsidRPr="00B71D90" w:rsidRDefault="00562298" w:rsidP="00ED5A80">
      <w:pPr>
        <w:pStyle w:val="Body"/>
        <w:spacing w:before="0"/>
      </w:pPr>
    </w:p>
    <w:p w:rsidR="00562298" w:rsidRPr="00B71D90" w:rsidRDefault="00562298" w:rsidP="00ED5A80">
      <w:pPr>
        <w:pStyle w:val="Body"/>
        <w:spacing w:before="0"/>
      </w:pPr>
    </w:p>
    <w:p w:rsidR="00562298" w:rsidRPr="00B71D90" w:rsidRDefault="00562298" w:rsidP="00ED5A80">
      <w:pPr>
        <w:pStyle w:val="Body"/>
        <w:spacing w:before="0"/>
      </w:pPr>
    </w:p>
    <w:p w:rsidR="00562298" w:rsidRPr="00B71D90" w:rsidRDefault="00562298" w:rsidP="00ED5A80">
      <w:pPr>
        <w:pStyle w:val="Body"/>
        <w:spacing w:before="0"/>
      </w:pPr>
    </w:p>
    <w:p w:rsidR="00562298" w:rsidRPr="00B71D90" w:rsidRDefault="00562298" w:rsidP="00ED5A80">
      <w:pPr>
        <w:pStyle w:val="Body"/>
        <w:spacing w:before="0"/>
      </w:pPr>
    </w:p>
    <w:p w:rsidR="00803967" w:rsidRPr="00B71D90" w:rsidRDefault="00803967">
      <w:pPr>
        <w:rPr>
          <w:b/>
          <w:sz w:val="28"/>
        </w:rPr>
      </w:pPr>
    </w:p>
    <w:p w:rsidR="00803967" w:rsidRPr="00B71D90" w:rsidRDefault="007E19A8">
      <w:pPr>
        <w:jc w:val="both"/>
        <w:rPr>
          <w:rFonts w:cs="Arial"/>
        </w:rPr>
        <w:sectPr w:rsidR="00803967" w:rsidRPr="00B71D90" w:rsidSect="00550D6B">
          <w:headerReference w:type="even" r:id="rId11"/>
          <w:headerReference w:type="first" r:id="rId12"/>
          <w:footerReference w:type="first" r:id="rId13"/>
          <w:footnotePr>
            <w:numStart w:val="2"/>
          </w:footnotePr>
          <w:pgSz w:w="12240" w:h="15840" w:code="1"/>
          <w:pgMar w:top="1080" w:right="1080" w:bottom="1080" w:left="1440" w:header="720" w:footer="720" w:gutter="0"/>
          <w:cols w:space="720"/>
        </w:sectPr>
      </w:pPr>
      <w:r w:rsidRPr="00B71D90">
        <w:rPr>
          <w:rFonts w:cs="Arial"/>
          <w:noProof/>
        </w:rPr>
        <w:drawing>
          <wp:inline distT="0" distB="0" distL="0" distR="0">
            <wp:extent cx="1876425" cy="1114425"/>
            <wp:effectExtent l="19050" t="0" r="9525" b="0"/>
            <wp:docPr id="1" name="Picture 1" descr="NCQA_pmscolor_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QA_pmscolor_tag"/>
                    <pic:cNvPicPr>
                      <a:picLocks noChangeAspect="1" noChangeArrowheads="1"/>
                    </pic:cNvPicPr>
                  </pic:nvPicPr>
                  <pic:blipFill>
                    <a:blip r:embed="rId14" cstate="print"/>
                    <a:srcRect/>
                    <a:stretch>
                      <a:fillRect/>
                    </a:stretch>
                  </pic:blipFill>
                  <pic:spPr bwMode="auto">
                    <a:xfrm>
                      <a:off x="0" y="0"/>
                      <a:ext cx="1876425" cy="1114425"/>
                    </a:xfrm>
                    <a:prstGeom prst="rect">
                      <a:avLst/>
                    </a:prstGeom>
                    <a:noFill/>
                    <a:ln w="9525">
                      <a:noFill/>
                      <a:miter lim="800000"/>
                      <a:headEnd/>
                      <a:tailEnd/>
                    </a:ln>
                  </pic:spPr>
                </pic:pic>
              </a:graphicData>
            </a:graphic>
          </wp:inline>
        </w:drawing>
      </w: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562298" w:rsidRPr="00B71D90" w:rsidRDefault="00562298"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803967" w:rsidRPr="00B71D90" w:rsidRDefault="00803967"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ED5A80" w:rsidRPr="00B71D90" w:rsidRDefault="00ED5A80" w:rsidP="00ED5A80">
      <w:pPr>
        <w:pStyle w:val="Body"/>
        <w:spacing w:before="0"/>
      </w:pPr>
    </w:p>
    <w:p w:rsidR="00803967" w:rsidRPr="00B71D90" w:rsidRDefault="00803967" w:rsidP="00ED5A80">
      <w:pPr>
        <w:pStyle w:val="Body"/>
        <w:spacing w:before="0"/>
        <w:rPr>
          <w:b/>
        </w:rPr>
      </w:pPr>
    </w:p>
    <w:p w:rsidR="00803967" w:rsidRPr="00B71D90" w:rsidRDefault="00803967" w:rsidP="00ED5A80">
      <w:pPr>
        <w:pStyle w:val="Body"/>
        <w:spacing w:before="0"/>
        <w:rPr>
          <w:b/>
        </w:rPr>
      </w:pPr>
    </w:p>
    <w:p w:rsidR="00803967" w:rsidRPr="00B71D90" w:rsidRDefault="00803967" w:rsidP="00ED5A80">
      <w:pPr>
        <w:pStyle w:val="Body"/>
        <w:spacing w:before="0"/>
        <w:rPr>
          <w:b/>
        </w:rPr>
      </w:pPr>
    </w:p>
    <w:p w:rsidR="00803967" w:rsidRPr="00B71D90" w:rsidRDefault="00803967" w:rsidP="00ED5A80">
      <w:pPr>
        <w:pStyle w:val="Body"/>
        <w:spacing w:before="0"/>
        <w:rPr>
          <w:b/>
        </w:rPr>
      </w:pPr>
    </w:p>
    <w:p w:rsidR="00803967" w:rsidRPr="00B71D90" w:rsidRDefault="00803967" w:rsidP="00ED5A80">
      <w:pPr>
        <w:pStyle w:val="Body"/>
        <w:spacing w:before="0"/>
        <w:rPr>
          <w:b/>
        </w:rPr>
      </w:pPr>
    </w:p>
    <w:p w:rsidR="00F840F7" w:rsidRPr="00B71D90" w:rsidRDefault="00F840F7" w:rsidP="00ED5A80">
      <w:pPr>
        <w:pStyle w:val="Body"/>
        <w:spacing w:before="0"/>
        <w:rPr>
          <w:b/>
        </w:rPr>
      </w:pPr>
    </w:p>
    <w:p w:rsidR="005F1E57" w:rsidRPr="00B71D90" w:rsidRDefault="005F1E57" w:rsidP="00ED5A80">
      <w:pPr>
        <w:pStyle w:val="Body"/>
        <w:spacing w:before="0"/>
        <w:rPr>
          <w:sz w:val="18"/>
          <w:szCs w:val="18"/>
        </w:rPr>
      </w:pPr>
      <w:r w:rsidRPr="00B71D90">
        <w:rPr>
          <w:sz w:val="18"/>
          <w:szCs w:val="18"/>
          <w:vertAlign w:val="superscript"/>
        </w:rPr>
        <w:t>®</w:t>
      </w:r>
      <w:r w:rsidRPr="00B71D90">
        <w:rPr>
          <w:sz w:val="18"/>
          <w:szCs w:val="18"/>
        </w:rPr>
        <w:t>HEDIS is a registered trademark of the National Committee for Quality Assurance (NCQA).</w:t>
      </w:r>
    </w:p>
    <w:p w:rsidR="00F840F7" w:rsidRPr="00B71D90" w:rsidRDefault="00F840F7" w:rsidP="00ED5A80">
      <w:pPr>
        <w:pStyle w:val="Body"/>
        <w:spacing w:before="0"/>
        <w:rPr>
          <w:b/>
        </w:rPr>
      </w:pPr>
    </w:p>
    <w:p w:rsidR="00F840F7" w:rsidRPr="00B71D90" w:rsidRDefault="00F840F7" w:rsidP="00ED5A80">
      <w:pPr>
        <w:pStyle w:val="Body"/>
        <w:spacing w:before="0"/>
        <w:rPr>
          <w:b/>
        </w:rPr>
      </w:pPr>
    </w:p>
    <w:p w:rsidR="00F840F7" w:rsidRPr="00B71D90" w:rsidRDefault="00F840F7" w:rsidP="00ED5A80">
      <w:pPr>
        <w:pStyle w:val="Body"/>
        <w:spacing w:before="0"/>
        <w:rPr>
          <w:b/>
        </w:rPr>
      </w:pPr>
    </w:p>
    <w:p w:rsidR="00F840F7" w:rsidRPr="00B71D90" w:rsidRDefault="00F840F7" w:rsidP="00ED5A80">
      <w:pPr>
        <w:pStyle w:val="Body"/>
        <w:spacing w:before="0"/>
        <w:rPr>
          <w:b/>
        </w:rPr>
      </w:pPr>
    </w:p>
    <w:p w:rsidR="00F840F7" w:rsidRPr="00B71D90" w:rsidRDefault="00F840F7" w:rsidP="00ED5A80">
      <w:pPr>
        <w:pStyle w:val="Body"/>
        <w:spacing w:before="0"/>
        <w:rPr>
          <w:b/>
        </w:rPr>
      </w:pPr>
    </w:p>
    <w:p w:rsidR="00803967" w:rsidRPr="00B71D90" w:rsidRDefault="00803967" w:rsidP="00ED5A80">
      <w:pPr>
        <w:pStyle w:val="Body"/>
        <w:spacing w:before="0"/>
        <w:rPr>
          <w:b/>
        </w:rPr>
      </w:pPr>
    </w:p>
    <w:p w:rsidR="00803967" w:rsidRPr="00B71D90" w:rsidRDefault="00803967" w:rsidP="00ED5A80">
      <w:pPr>
        <w:pStyle w:val="Body"/>
        <w:spacing w:before="0"/>
        <w:rPr>
          <w:rFonts w:cs="Arial"/>
          <w:sz w:val="18"/>
        </w:rPr>
      </w:pPr>
      <w:r w:rsidRPr="00B71D90">
        <w:rPr>
          <w:rFonts w:cs="Arial"/>
          <w:sz w:val="18"/>
        </w:rPr>
        <w:t xml:space="preserve">No part of this publication may be reproduced or transmitted in any </w:t>
      </w:r>
      <w:r w:rsidRPr="00B71D90">
        <w:rPr>
          <w:rFonts w:cs="Arial"/>
          <w:sz w:val="18"/>
        </w:rPr>
        <w:br/>
        <w:t>form or by any means, electronic or mechanical, including photocopy, recording</w:t>
      </w:r>
      <w:r w:rsidR="00ED5A80" w:rsidRPr="00B71D90">
        <w:rPr>
          <w:rFonts w:cs="Arial"/>
          <w:sz w:val="18"/>
        </w:rPr>
        <w:br/>
      </w:r>
      <w:r w:rsidRPr="00B71D90">
        <w:rPr>
          <w:rFonts w:cs="Arial"/>
          <w:sz w:val="18"/>
        </w:rPr>
        <w:t>or any information storage and retrieval system, without the written permission of NCQA.</w:t>
      </w:r>
    </w:p>
    <w:p w:rsidR="00803967" w:rsidRPr="00B71D90" w:rsidRDefault="00803967" w:rsidP="00ED5A80">
      <w:pPr>
        <w:pStyle w:val="Body"/>
        <w:spacing w:before="0"/>
        <w:rPr>
          <w:rFonts w:cs="Arial"/>
          <w:sz w:val="18"/>
        </w:rPr>
      </w:pPr>
    </w:p>
    <w:p w:rsidR="00803967" w:rsidRPr="00B71D90" w:rsidRDefault="00803967" w:rsidP="00ED5A80">
      <w:pPr>
        <w:pStyle w:val="Body"/>
        <w:spacing w:before="0"/>
        <w:rPr>
          <w:rFonts w:cs="Arial"/>
          <w:sz w:val="18"/>
        </w:rPr>
      </w:pPr>
      <w:r w:rsidRPr="00B71D90">
        <w:rPr>
          <w:rFonts w:cs="Arial"/>
          <w:sz w:val="18"/>
        </w:rPr>
        <w:t>© 20</w:t>
      </w:r>
      <w:r w:rsidR="000F5CF4" w:rsidRPr="00B71D90">
        <w:rPr>
          <w:rFonts w:cs="Arial"/>
          <w:sz w:val="18"/>
        </w:rPr>
        <w:t>1</w:t>
      </w:r>
      <w:r w:rsidR="003C4CE7">
        <w:rPr>
          <w:rFonts w:cs="Arial"/>
          <w:sz w:val="18"/>
        </w:rPr>
        <w:t>2</w:t>
      </w:r>
      <w:r w:rsidRPr="00B71D90">
        <w:rPr>
          <w:rFonts w:cs="Arial"/>
          <w:sz w:val="18"/>
        </w:rPr>
        <w:t xml:space="preserve"> by the National Committee for Quality Assurance</w:t>
      </w:r>
    </w:p>
    <w:p w:rsidR="00803967" w:rsidRPr="00B71D90" w:rsidRDefault="00A52DC4" w:rsidP="00ED5A80">
      <w:pPr>
        <w:pStyle w:val="Body"/>
        <w:spacing w:before="0"/>
        <w:rPr>
          <w:rFonts w:cs="Arial"/>
          <w:sz w:val="18"/>
        </w:rPr>
      </w:pPr>
      <w:r w:rsidRPr="00B71D90">
        <w:rPr>
          <w:rFonts w:cs="Arial"/>
          <w:sz w:val="18"/>
        </w:rPr>
        <w:t>1100 13th Street, NW, Suite 1000</w:t>
      </w:r>
    </w:p>
    <w:p w:rsidR="00803967" w:rsidRPr="00B71D90" w:rsidRDefault="00A52DC4" w:rsidP="00ED5A80">
      <w:pPr>
        <w:pStyle w:val="Body"/>
        <w:spacing w:before="0"/>
        <w:rPr>
          <w:rFonts w:cs="Arial"/>
          <w:sz w:val="18"/>
        </w:rPr>
      </w:pPr>
      <w:r w:rsidRPr="00B71D90">
        <w:rPr>
          <w:rFonts w:cs="Arial"/>
          <w:sz w:val="18"/>
        </w:rPr>
        <w:t>Washington, DC 20005</w:t>
      </w:r>
    </w:p>
    <w:p w:rsidR="00803967" w:rsidRPr="00B71D90" w:rsidRDefault="00803967" w:rsidP="00ED5A80">
      <w:pPr>
        <w:pStyle w:val="Body"/>
        <w:spacing w:before="0"/>
        <w:rPr>
          <w:rFonts w:cs="Arial"/>
          <w:sz w:val="18"/>
        </w:rPr>
      </w:pPr>
      <w:r w:rsidRPr="00B71D90">
        <w:rPr>
          <w:rFonts w:cs="Arial"/>
          <w:sz w:val="18"/>
        </w:rPr>
        <w:t>All rights reserved. Printed in the U.S.A.</w:t>
      </w:r>
    </w:p>
    <w:p w:rsidR="00803967" w:rsidRPr="00B71D90" w:rsidRDefault="00803967" w:rsidP="00ED5A80">
      <w:pPr>
        <w:pStyle w:val="Body"/>
        <w:spacing w:before="0"/>
        <w:rPr>
          <w:rFonts w:cs="Arial"/>
          <w:sz w:val="18"/>
        </w:rPr>
      </w:pPr>
    </w:p>
    <w:p w:rsidR="00803967" w:rsidRPr="00B71D90" w:rsidRDefault="00803967" w:rsidP="00ED5A80">
      <w:pPr>
        <w:pStyle w:val="Body"/>
        <w:spacing w:before="0"/>
        <w:rPr>
          <w:rFonts w:cs="Arial"/>
          <w:caps/>
          <w:sz w:val="18"/>
        </w:rPr>
      </w:pPr>
      <w:r w:rsidRPr="00B71D90">
        <w:rPr>
          <w:rFonts w:cs="Arial"/>
          <w:sz w:val="18"/>
        </w:rPr>
        <w:t>NCQA Customer Support: 888-275-7585</w:t>
      </w:r>
    </w:p>
    <w:p w:rsidR="00803967" w:rsidRPr="00B71D90" w:rsidRDefault="00803967" w:rsidP="00ED5A80">
      <w:pPr>
        <w:pStyle w:val="Body"/>
        <w:spacing w:before="0"/>
        <w:rPr>
          <w:rStyle w:val="Hyperlink"/>
          <w:rFonts w:cs="Arial"/>
          <w:color w:val="auto"/>
          <w:sz w:val="18"/>
        </w:rPr>
      </w:pPr>
      <w:r w:rsidRPr="00B71D90">
        <w:rPr>
          <w:rFonts w:cs="Arial"/>
          <w:caps/>
          <w:sz w:val="18"/>
        </w:rPr>
        <w:t>NCQA P</w:t>
      </w:r>
      <w:r w:rsidRPr="00B71D90">
        <w:rPr>
          <w:rFonts w:cs="Arial"/>
          <w:sz w:val="18"/>
        </w:rPr>
        <w:t xml:space="preserve">olicy Clarification Support (PCS): </w:t>
      </w:r>
      <w:bookmarkStart w:id="13" w:name="OLE_LINK3"/>
      <w:bookmarkStart w:id="14" w:name="OLE_LINK4"/>
      <w:r w:rsidR="003C5E74" w:rsidRPr="00B71D90">
        <w:rPr>
          <w:rFonts w:cs="Arial"/>
          <w:sz w:val="18"/>
        </w:rPr>
        <w:fldChar w:fldCharType="begin"/>
      </w:r>
      <w:r w:rsidR="00305A4F" w:rsidRPr="00B71D90">
        <w:rPr>
          <w:rFonts w:cs="Arial"/>
          <w:sz w:val="18"/>
        </w:rPr>
        <w:instrText xml:space="preserve"> HYPERLINK "http://www.ncqa.org/pcs" </w:instrText>
      </w:r>
      <w:r w:rsidR="003C5E74" w:rsidRPr="00B71D90">
        <w:rPr>
          <w:rFonts w:cs="Arial"/>
          <w:sz w:val="18"/>
        </w:rPr>
        <w:fldChar w:fldCharType="separate"/>
      </w:r>
      <w:r w:rsidR="00305A4F" w:rsidRPr="00B71D90">
        <w:rPr>
          <w:rStyle w:val="Hyperlink"/>
          <w:rFonts w:cs="Arial"/>
          <w:color w:val="auto"/>
          <w:sz w:val="18"/>
        </w:rPr>
        <w:t>www.ncqa.org/pcs</w:t>
      </w:r>
      <w:bookmarkEnd w:id="13"/>
      <w:bookmarkEnd w:id="14"/>
      <w:r w:rsidR="003C5E74" w:rsidRPr="00B71D90">
        <w:rPr>
          <w:rFonts w:cs="Arial"/>
          <w:sz w:val="18"/>
        </w:rPr>
        <w:fldChar w:fldCharType="end"/>
      </w:r>
      <w:r w:rsidR="007E41A2" w:rsidRPr="00B71D90">
        <w:rPr>
          <w:rFonts w:cs="Arial"/>
          <w:sz w:val="18"/>
        </w:rPr>
        <w:t xml:space="preserve"> </w:t>
      </w:r>
    </w:p>
    <w:p w:rsidR="00803967" w:rsidRPr="00B71D90" w:rsidRDefault="00803967" w:rsidP="00ED5A80">
      <w:pPr>
        <w:pStyle w:val="Body"/>
        <w:spacing w:before="0"/>
        <w:rPr>
          <w:rFonts w:cs="Arial"/>
          <w:sz w:val="18"/>
        </w:rPr>
      </w:pPr>
    </w:p>
    <w:p w:rsidR="00803967" w:rsidRPr="00B71D90" w:rsidRDefault="00803967" w:rsidP="00ED5A80">
      <w:pPr>
        <w:pStyle w:val="Body"/>
        <w:spacing w:before="0"/>
        <w:rPr>
          <w:rFonts w:cs="Arial"/>
          <w:i/>
          <w:sz w:val="18"/>
        </w:rPr>
      </w:pPr>
      <w:r w:rsidRPr="00B71D90">
        <w:rPr>
          <w:rFonts w:cs="Arial"/>
          <w:i/>
          <w:sz w:val="18"/>
        </w:rPr>
        <w:t>Item #10287-100-</w:t>
      </w:r>
      <w:r w:rsidR="000F5CF4" w:rsidRPr="00B71D90">
        <w:rPr>
          <w:rFonts w:cs="Arial"/>
          <w:i/>
          <w:sz w:val="18"/>
        </w:rPr>
        <w:t>1</w:t>
      </w:r>
      <w:r w:rsidR="00B72749">
        <w:rPr>
          <w:rFonts w:cs="Arial"/>
          <w:i/>
          <w:sz w:val="18"/>
        </w:rPr>
        <w:t>3</w:t>
      </w:r>
    </w:p>
    <w:p w:rsidR="00803967" w:rsidRPr="00B71D90" w:rsidRDefault="00803967" w:rsidP="00F827BA">
      <w:pPr>
        <w:pStyle w:val="Body"/>
      </w:pPr>
    </w:p>
    <w:p w:rsidR="00803967" w:rsidRPr="00B71D90" w:rsidRDefault="00803967" w:rsidP="00F827BA">
      <w:pPr>
        <w:pStyle w:val="Body"/>
      </w:pPr>
    </w:p>
    <w:p w:rsidR="00803967" w:rsidRPr="00B71D90" w:rsidRDefault="00803967" w:rsidP="00F827BA">
      <w:pPr>
        <w:pStyle w:val="Body"/>
        <w:sectPr w:rsidR="00803967" w:rsidRPr="00B71D90" w:rsidSect="00395B77">
          <w:footerReference w:type="even" r:id="rId15"/>
          <w:footnotePr>
            <w:numStart w:val="2"/>
          </w:footnotePr>
          <w:pgSz w:w="12240" w:h="15840" w:code="1"/>
          <w:pgMar w:top="1080" w:right="1080" w:bottom="1080" w:left="1440" w:header="720" w:footer="720" w:gutter="0"/>
          <w:cols w:space="720"/>
        </w:sectPr>
      </w:pPr>
    </w:p>
    <w:p w:rsidR="00803967" w:rsidRPr="00B71D90" w:rsidRDefault="00803967" w:rsidP="0083481F">
      <w:pPr>
        <w:pStyle w:val="StdTitle"/>
        <w:spacing w:after="240"/>
        <w:jc w:val="center"/>
        <w:rPr>
          <w:sz w:val="32"/>
        </w:rPr>
      </w:pPr>
      <w:r w:rsidRPr="00B71D90">
        <w:rPr>
          <w:sz w:val="32"/>
        </w:rPr>
        <w:lastRenderedPageBreak/>
        <w:t>Acknowledgments</w:t>
      </w:r>
    </w:p>
    <w:p w:rsidR="00803967" w:rsidRPr="007F107D" w:rsidRDefault="00803967">
      <w:pPr>
        <w:pStyle w:val="Body"/>
      </w:pPr>
      <w:r w:rsidRPr="00B71D90">
        <w:t xml:space="preserve">NCQA is proud to release HEDIS </w:t>
      </w:r>
      <w:r w:rsidR="008455E2" w:rsidRPr="00B71D90">
        <w:t>20</w:t>
      </w:r>
      <w:r w:rsidR="00CE6A2F" w:rsidRPr="00B71D90">
        <w:t>1</w:t>
      </w:r>
      <w:r w:rsidR="003C4CE7">
        <w:t>3</w:t>
      </w:r>
      <w:r w:rsidRPr="00B71D90">
        <w:rPr>
          <w:i/>
        </w:rPr>
        <w:t xml:space="preserve"> Volume 5</w:t>
      </w:r>
      <w:r w:rsidRPr="00B71D90">
        <w:t xml:space="preserve">, </w:t>
      </w:r>
      <w:r w:rsidRPr="00B71D90">
        <w:rPr>
          <w:i/>
        </w:rPr>
        <w:t>HEDIS Compliance Audit</w:t>
      </w:r>
      <w:r w:rsidRPr="00B71D90">
        <w:t>™</w:t>
      </w:r>
      <w:r w:rsidRPr="00B71D90">
        <w:rPr>
          <w:i/>
        </w:rPr>
        <w:t>: Standards, Policies and Procedures</w:t>
      </w:r>
      <w:r w:rsidRPr="00B71D90">
        <w:t>. The HEDIS Compliance Audit program</w:t>
      </w:r>
      <w:r w:rsidR="00333136" w:rsidRPr="00B71D90">
        <w:t xml:space="preserve"> was </w:t>
      </w:r>
      <w:r w:rsidRPr="00B71D90">
        <w:t xml:space="preserve">established </w:t>
      </w:r>
      <w:r w:rsidR="00333136" w:rsidRPr="00B71D90">
        <w:t xml:space="preserve">in 1997 </w:t>
      </w:r>
      <w:r w:rsidRPr="00B71D90">
        <w:t xml:space="preserve">to </w:t>
      </w:r>
      <w:r w:rsidR="005F0FCB" w:rsidRPr="00B71D90">
        <w:t xml:space="preserve">assess </w:t>
      </w:r>
      <w:r w:rsidRPr="00B71D90">
        <w:t>accuracy and reliability of HEDIS data and promote fair comparison</w:t>
      </w:r>
      <w:r w:rsidR="007B3AB1">
        <w:t xml:space="preserve"> among organizations</w:t>
      </w:r>
      <w:r w:rsidR="00333136" w:rsidRPr="00B71D90">
        <w:t xml:space="preserve">. </w:t>
      </w:r>
      <w:r w:rsidRPr="00B71D90">
        <w:t xml:space="preserve">Our primary </w:t>
      </w:r>
      <w:r w:rsidR="00333136" w:rsidRPr="00B71D90">
        <w:t>goals</w:t>
      </w:r>
      <w:r w:rsidR="00142127" w:rsidRPr="00B71D90">
        <w:t xml:space="preserve">—to </w:t>
      </w:r>
      <w:r w:rsidRPr="00B71D90">
        <w:t xml:space="preserve">establish the audit program as the gold standard for HEDIS auditing and </w:t>
      </w:r>
      <w:r w:rsidR="00142127" w:rsidRPr="00B71D90">
        <w:t xml:space="preserve">to </w:t>
      </w:r>
      <w:r w:rsidRPr="00B71D90">
        <w:t>build capacity to support market demand</w:t>
      </w:r>
      <w:r w:rsidR="00142127" w:rsidRPr="00B71D90">
        <w:t>—</w:t>
      </w:r>
      <w:r w:rsidR="00333136" w:rsidRPr="00B71D90">
        <w:t xml:space="preserve">are </w:t>
      </w:r>
      <w:r w:rsidRPr="00B71D90">
        <w:t xml:space="preserve">met by maintaining consistent auditor participation and requiring audited data </w:t>
      </w:r>
      <w:r w:rsidR="00142127" w:rsidRPr="00B71D90">
        <w:t xml:space="preserve">for </w:t>
      </w:r>
      <w:r w:rsidR="006A4760" w:rsidRPr="00B71D90">
        <w:t>organization</w:t>
      </w:r>
      <w:r w:rsidR="00333136" w:rsidRPr="00B71D90">
        <w:t xml:space="preserve"> </w:t>
      </w:r>
      <w:r w:rsidR="00142127" w:rsidRPr="00B71D90">
        <w:t>a</w:t>
      </w:r>
      <w:r w:rsidR="00333136" w:rsidRPr="00B71D90">
        <w:t>ccreditation</w:t>
      </w:r>
      <w:r w:rsidR="00F3641F" w:rsidRPr="00B71D90">
        <w:t>,</w:t>
      </w:r>
      <w:r w:rsidR="00333136" w:rsidRPr="00B71D90">
        <w:t xml:space="preserve"> </w:t>
      </w:r>
      <w:r w:rsidR="007B0B50" w:rsidRPr="00B71D90">
        <w:rPr>
          <w:i/>
        </w:rPr>
        <w:t xml:space="preserve">America’s Best Health </w:t>
      </w:r>
      <w:r w:rsidR="00B82BD4" w:rsidRPr="00B71D90">
        <w:rPr>
          <w:i/>
        </w:rPr>
        <w:t>Insurance</w:t>
      </w:r>
      <w:r w:rsidR="007B0B50" w:rsidRPr="00B71D90">
        <w:rPr>
          <w:i/>
        </w:rPr>
        <w:t xml:space="preserve"> Plans,</w:t>
      </w:r>
      <w:r w:rsidR="007B0B50" w:rsidRPr="00B71D90">
        <w:t xml:space="preserve"> </w:t>
      </w:r>
      <w:r w:rsidRPr="00B71D90">
        <w:rPr>
          <w:i/>
        </w:rPr>
        <w:t>Quality Compass</w:t>
      </w:r>
      <w:r w:rsidRPr="00B71D90">
        <w:rPr>
          <w:i/>
          <w:vertAlign w:val="superscript"/>
        </w:rPr>
        <w:t>®</w:t>
      </w:r>
      <w:r w:rsidR="00622457" w:rsidRPr="007F107D">
        <w:rPr>
          <w:vertAlign w:val="superscript"/>
        </w:rPr>
        <w:t>1</w:t>
      </w:r>
      <w:r w:rsidR="00F3641F" w:rsidRPr="00B71D90">
        <w:rPr>
          <w:iCs/>
          <w:vertAlign w:val="superscript"/>
        </w:rPr>
        <w:t xml:space="preserve"> </w:t>
      </w:r>
      <w:r w:rsidR="00F3641F" w:rsidRPr="00B71D90">
        <w:t>and t</w:t>
      </w:r>
      <w:r w:rsidRPr="00B71D90">
        <w:t xml:space="preserve">he </w:t>
      </w:r>
      <w:r w:rsidRPr="00B71D90">
        <w:rPr>
          <w:i/>
        </w:rPr>
        <w:t>State of Health Care Quality</w:t>
      </w:r>
      <w:r w:rsidRPr="007F107D">
        <w:t xml:space="preserve"> Report</w:t>
      </w:r>
      <w:r w:rsidR="00333136" w:rsidRPr="007F107D">
        <w:t>.</w:t>
      </w:r>
    </w:p>
    <w:p w:rsidR="00803967" w:rsidRPr="00B71D90" w:rsidRDefault="00803967">
      <w:pPr>
        <w:pStyle w:val="Body"/>
      </w:pPr>
      <w:r w:rsidRPr="00B71D90">
        <w:t xml:space="preserve">HEDIS </w:t>
      </w:r>
      <w:r w:rsidR="008455E2" w:rsidRPr="00B71D90">
        <w:t>20</w:t>
      </w:r>
      <w:r w:rsidR="00CE6A2F" w:rsidRPr="00B71D90">
        <w:t>1</w:t>
      </w:r>
      <w:r w:rsidR="003C4CE7">
        <w:t>3</w:t>
      </w:r>
      <w:r w:rsidRPr="00B71D90">
        <w:t xml:space="preserve"> Volume 5 builds on earlier versions of the audit standards and the auditor certification manual</w:t>
      </w:r>
      <w:r w:rsidR="00142127" w:rsidRPr="00B71D90">
        <w:t>,</w:t>
      </w:r>
      <w:r w:rsidRPr="00B71D90">
        <w:t xml:space="preserve"> and </w:t>
      </w:r>
      <w:r w:rsidR="00142127" w:rsidRPr="00B71D90">
        <w:t>guides</w:t>
      </w:r>
      <w:r w:rsidRPr="00B71D90">
        <w:t xml:space="preserve"> NCQA Certified HEDIS Compliance Auditors, </w:t>
      </w:r>
      <w:r w:rsidR="006A4760" w:rsidRPr="00B71D90">
        <w:t>organization</w:t>
      </w:r>
      <w:r w:rsidR="00800320" w:rsidRPr="00B71D90">
        <w:t xml:space="preserve">s </w:t>
      </w:r>
      <w:r w:rsidRPr="00B71D90">
        <w:t xml:space="preserve">undergoing HEDIS audits and others interested in the NCQA standardized audit methodology. </w:t>
      </w:r>
    </w:p>
    <w:p w:rsidR="00803967" w:rsidRPr="00B71D90" w:rsidRDefault="00803967">
      <w:pPr>
        <w:pStyle w:val="Body"/>
      </w:pPr>
      <w:r w:rsidRPr="00B71D90">
        <w:t xml:space="preserve">This volume is </w:t>
      </w:r>
      <w:r w:rsidR="00C657D2" w:rsidRPr="00B71D90">
        <w:t xml:space="preserve">made </w:t>
      </w:r>
      <w:r w:rsidRPr="00B71D90">
        <w:t xml:space="preserve">possible through the contributions of many stakeholders, external and internal to NCQA. We extend our thanks to members of the HEDIS Expert Audit Methodology Panel, who dedicate their time and expertise </w:t>
      </w:r>
      <w:r w:rsidR="00E15CAF" w:rsidRPr="00B71D90">
        <w:t>throughout the year</w:t>
      </w:r>
      <w:r w:rsidRPr="00B71D90">
        <w:t xml:space="preserve"> to help us improve the program. </w:t>
      </w:r>
    </w:p>
    <w:p w:rsidR="00803967" w:rsidRPr="00B71D90" w:rsidRDefault="00803967">
      <w:pPr>
        <w:pStyle w:val="Body"/>
      </w:pPr>
      <w:r w:rsidRPr="00B71D90">
        <w:t xml:space="preserve">We would also like to </w:t>
      </w:r>
      <w:r w:rsidR="00F51C6B" w:rsidRPr="00B71D90">
        <w:t xml:space="preserve">thank </w:t>
      </w:r>
      <w:r w:rsidRPr="00B71D90">
        <w:t>these NCQA staff for their contributions to</w:t>
      </w:r>
      <w:r w:rsidRPr="00B71D90">
        <w:rPr>
          <w:i/>
        </w:rPr>
        <w:t xml:space="preserve"> </w:t>
      </w:r>
      <w:r w:rsidRPr="00B71D90">
        <w:t xml:space="preserve">the volume’s production: Mary Braman, </w:t>
      </w:r>
      <w:r w:rsidR="00EF2B2D" w:rsidRPr="00B71D90">
        <w:t>Courtney Breece</w:t>
      </w:r>
      <w:r w:rsidR="003A4BA3" w:rsidRPr="00B71D90">
        <w:t xml:space="preserve">, </w:t>
      </w:r>
      <w:r w:rsidR="00972A47" w:rsidRPr="00B71D90">
        <w:t>Ashley Lorusso</w:t>
      </w:r>
      <w:r w:rsidR="005B358F" w:rsidRPr="00B71D90">
        <w:t xml:space="preserve">, </w:t>
      </w:r>
      <w:r w:rsidR="00972A47">
        <w:t>Lauren Niles,</w:t>
      </w:r>
      <w:r w:rsidR="00972A47" w:rsidRPr="00B71D90">
        <w:t xml:space="preserve"> </w:t>
      </w:r>
      <w:r w:rsidR="006375FD" w:rsidRPr="00B71D90">
        <w:t>Suzanne Porter</w:t>
      </w:r>
      <w:r w:rsidR="00972A47">
        <w:t xml:space="preserve">, </w:t>
      </w:r>
      <w:r w:rsidR="004A7CD8" w:rsidRPr="00B71D90">
        <w:t xml:space="preserve">and </w:t>
      </w:r>
      <w:r w:rsidR="00972A47" w:rsidRPr="00B71D90">
        <w:t>Anne Smith</w:t>
      </w:r>
      <w:r w:rsidR="00560E6B" w:rsidRPr="00B71D90">
        <w:t>,</w:t>
      </w:r>
      <w:r w:rsidR="00F66BB0" w:rsidRPr="00B71D90">
        <w:t xml:space="preserve"> </w:t>
      </w:r>
      <w:r w:rsidRPr="00B71D90">
        <w:t xml:space="preserve">for their help in refining the volume’s content; Carolyn Moeller, for </w:t>
      </w:r>
      <w:r w:rsidR="004A7CD8" w:rsidRPr="00B71D90">
        <w:t xml:space="preserve">her </w:t>
      </w:r>
      <w:r w:rsidRPr="00B71D90">
        <w:t xml:space="preserve">help in producing the final copy; </w:t>
      </w:r>
      <w:r w:rsidR="00EF7909">
        <w:t>Rick Moore</w:t>
      </w:r>
      <w:r w:rsidRPr="00B71D90">
        <w:t xml:space="preserve">, for </w:t>
      </w:r>
      <w:r w:rsidR="00B72749">
        <w:t>his</w:t>
      </w:r>
      <w:r w:rsidR="00B72749" w:rsidRPr="00B71D90">
        <w:t xml:space="preserve"> </w:t>
      </w:r>
      <w:r w:rsidRPr="00B71D90">
        <w:t xml:space="preserve">leadership on this </w:t>
      </w:r>
      <w:r w:rsidR="00EF2B2D" w:rsidRPr="00B71D90">
        <w:t>project; Judy Lacourciere, for her</w:t>
      </w:r>
      <w:r w:rsidRPr="00B71D90">
        <w:t xml:space="preserve"> editorial work. </w:t>
      </w:r>
    </w:p>
    <w:p w:rsidR="001A64B5" w:rsidRPr="00B71D90" w:rsidRDefault="001A64B5">
      <w:pPr>
        <w:pStyle w:val="Body"/>
      </w:pPr>
    </w:p>
    <w:p w:rsidR="00803967" w:rsidRPr="00B71D90" w:rsidRDefault="00803967">
      <w:pPr>
        <w:pStyle w:val="Body"/>
      </w:pPr>
      <w:r w:rsidRPr="00B71D90">
        <w:t>Sincerely,</w:t>
      </w:r>
    </w:p>
    <w:p w:rsidR="00803967" w:rsidRPr="00B71D90" w:rsidRDefault="007E19A8">
      <w:pPr>
        <w:pStyle w:val="Body"/>
      </w:pPr>
      <w:r w:rsidRPr="00B71D90">
        <w:rPr>
          <w:noProof/>
        </w:rPr>
        <w:drawing>
          <wp:inline distT="0" distB="0" distL="0" distR="0">
            <wp:extent cx="1419225" cy="4953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419225" cy="495300"/>
                    </a:xfrm>
                    <a:prstGeom prst="rect">
                      <a:avLst/>
                    </a:prstGeom>
                    <a:noFill/>
                    <a:ln w="9525">
                      <a:noFill/>
                      <a:miter lim="800000"/>
                      <a:headEnd/>
                      <a:tailEnd/>
                    </a:ln>
                  </pic:spPr>
                </pic:pic>
              </a:graphicData>
            </a:graphic>
          </wp:inline>
        </w:drawing>
      </w:r>
    </w:p>
    <w:p w:rsidR="00803967" w:rsidRPr="00B71D90" w:rsidRDefault="00803967">
      <w:pPr>
        <w:pStyle w:val="Body"/>
      </w:pPr>
      <w:r w:rsidRPr="00B71D90">
        <w:t>Margaret E. O’Kane</w:t>
      </w:r>
      <w:r w:rsidRPr="00B71D90">
        <w:br/>
        <w:t>President</w:t>
      </w:r>
    </w:p>
    <w:p w:rsidR="00803967" w:rsidRPr="00B71D90" w:rsidRDefault="00803967">
      <w:pPr>
        <w:pStyle w:val="Body"/>
      </w:pPr>
    </w:p>
    <w:p w:rsidR="00803967" w:rsidRPr="00B71D90" w:rsidRDefault="00803967">
      <w:pPr>
        <w:pStyle w:val="Body"/>
      </w:pPr>
    </w:p>
    <w:p w:rsidR="00803967" w:rsidRPr="00B71D90" w:rsidRDefault="00803967">
      <w:pPr>
        <w:pStyle w:val="Body"/>
      </w:pPr>
    </w:p>
    <w:p w:rsidR="009456DC" w:rsidRPr="00B71D90" w:rsidRDefault="009456DC" w:rsidP="008042A6">
      <w:pPr>
        <w:pStyle w:val="Body"/>
        <w:tabs>
          <w:tab w:val="left" w:pos="8865"/>
        </w:tabs>
      </w:pPr>
    </w:p>
    <w:p w:rsidR="00800320" w:rsidRPr="00B71D90" w:rsidRDefault="00800320">
      <w:pPr>
        <w:pStyle w:val="Body"/>
      </w:pPr>
    </w:p>
    <w:p w:rsidR="00A52DC4" w:rsidRPr="00B71D90" w:rsidRDefault="00A52DC4">
      <w:pPr>
        <w:pStyle w:val="Body"/>
      </w:pPr>
    </w:p>
    <w:p w:rsidR="00A52DC4" w:rsidRPr="00B71D90" w:rsidRDefault="00A52DC4">
      <w:pPr>
        <w:pStyle w:val="Body"/>
      </w:pPr>
    </w:p>
    <w:p w:rsidR="00A52DC4" w:rsidRPr="00B71D90" w:rsidRDefault="00A52DC4">
      <w:pPr>
        <w:pStyle w:val="Body"/>
      </w:pPr>
    </w:p>
    <w:p w:rsidR="004D72F8" w:rsidRPr="00B71D90" w:rsidRDefault="004D72F8">
      <w:pPr>
        <w:pStyle w:val="Body"/>
      </w:pPr>
    </w:p>
    <w:p w:rsidR="009456DC" w:rsidRPr="00B71D90" w:rsidRDefault="009456DC">
      <w:pPr>
        <w:pStyle w:val="Body"/>
      </w:pPr>
    </w:p>
    <w:p w:rsidR="00342F5F" w:rsidRPr="00B71D90" w:rsidRDefault="00803967" w:rsidP="00BA371E">
      <w:pPr>
        <w:pStyle w:val="Body"/>
        <w:spacing w:before="600"/>
        <w:rPr>
          <w:sz w:val="18"/>
          <w:szCs w:val="18"/>
        </w:rPr>
      </w:pPr>
      <w:r w:rsidRPr="00B71D90">
        <w:rPr>
          <w:sz w:val="18"/>
          <w:szCs w:val="18"/>
        </w:rPr>
        <w:t>___________</w:t>
      </w:r>
    </w:p>
    <w:p w:rsidR="00803967" w:rsidRPr="00B71D90" w:rsidRDefault="00F66BB0" w:rsidP="00BA371E">
      <w:pPr>
        <w:pStyle w:val="Body"/>
        <w:spacing w:before="120"/>
        <w:rPr>
          <w:sz w:val="18"/>
        </w:rPr>
        <w:sectPr w:rsidR="00803967" w:rsidRPr="00B71D90" w:rsidSect="00550D6B">
          <w:headerReference w:type="even" r:id="rId17"/>
          <w:headerReference w:type="default" r:id="rId18"/>
          <w:footerReference w:type="even" r:id="rId19"/>
          <w:footerReference w:type="default" r:id="rId20"/>
          <w:footerReference w:type="first" r:id="rId21"/>
          <w:footnotePr>
            <w:numStart w:val="2"/>
          </w:footnotePr>
          <w:pgSz w:w="12240" w:h="15840" w:code="1"/>
          <w:pgMar w:top="1080" w:right="1080" w:bottom="1080" w:left="1440" w:header="720" w:footer="720" w:gutter="0"/>
          <w:cols w:space="720"/>
        </w:sectPr>
      </w:pPr>
      <w:r w:rsidRPr="00B71D90">
        <w:rPr>
          <w:sz w:val="18"/>
          <w:vertAlign w:val="superscript"/>
        </w:rPr>
        <w:t>1</w:t>
      </w:r>
      <w:r w:rsidR="00803967" w:rsidRPr="00B71D90">
        <w:rPr>
          <w:sz w:val="18"/>
        </w:rPr>
        <w:t>Quality Compass</w:t>
      </w:r>
      <w:r w:rsidR="00803967" w:rsidRPr="00B71D90">
        <w:rPr>
          <w:sz w:val="18"/>
          <w:vertAlign w:val="superscript"/>
        </w:rPr>
        <w:t>®</w:t>
      </w:r>
      <w:r w:rsidR="00803967" w:rsidRPr="00B71D90">
        <w:rPr>
          <w:sz w:val="18"/>
        </w:rPr>
        <w:t xml:space="preserve"> is a registered trademark of the National Committee for Quality Assurance (NCQA).</w:t>
      </w:r>
    </w:p>
    <w:p w:rsidR="00803967" w:rsidRPr="00B71D90" w:rsidRDefault="00803967">
      <w:pPr>
        <w:pStyle w:val="StdHead"/>
        <w:spacing w:before="0"/>
        <w:rPr>
          <w:color w:val="auto"/>
        </w:rPr>
      </w:pPr>
      <w:bookmarkStart w:id="15" w:name="_Toc451673897"/>
      <w:r w:rsidRPr="00B71D90">
        <w:rPr>
          <w:color w:val="auto"/>
        </w:rPr>
        <w:lastRenderedPageBreak/>
        <w:t>HEDIS Audit Methodology Panel</w:t>
      </w:r>
      <w:bookmarkEnd w:id="15"/>
    </w:p>
    <w:tbl>
      <w:tblPr>
        <w:tblW w:w="0" w:type="auto"/>
        <w:tblLayout w:type="fixed"/>
        <w:tblLook w:val="0000"/>
      </w:tblPr>
      <w:tblGrid>
        <w:gridCol w:w="4944"/>
        <w:gridCol w:w="4884"/>
      </w:tblGrid>
      <w:tr w:rsidR="00641BF9" w:rsidRPr="00B71D90" w:rsidTr="006D243A">
        <w:trPr>
          <w:cantSplit/>
        </w:trPr>
        <w:tc>
          <w:tcPr>
            <w:tcW w:w="4944" w:type="dxa"/>
          </w:tcPr>
          <w:p w:rsidR="00704067" w:rsidRPr="00704067" w:rsidRDefault="00704067" w:rsidP="008C196C">
            <w:pPr>
              <w:spacing w:before="180"/>
              <w:rPr>
                <w:rFonts w:cs="Arial"/>
                <w:szCs w:val="20"/>
                <w:lang w:val="es-ES_tradnl"/>
              </w:rPr>
            </w:pPr>
            <w:r>
              <w:rPr>
                <w:rFonts w:cs="Arial"/>
                <w:b/>
                <w:bCs/>
                <w:szCs w:val="20"/>
                <w:lang w:val="es-ES_tradnl"/>
              </w:rPr>
              <w:t>Amy Cleary</w:t>
            </w:r>
            <w:r w:rsidRPr="00B71D90">
              <w:rPr>
                <w:rFonts w:cs="Arial"/>
                <w:b/>
                <w:bCs/>
                <w:szCs w:val="20"/>
                <w:lang w:val="es-ES_tradnl"/>
              </w:rPr>
              <w:t>, M</w:t>
            </w:r>
            <w:r>
              <w:rPr>
                <w:rFonts w:cs="Arial"/>
                <w:b/>
                <w:bCs/>
                <w:szCs w:val="20"/>
                <w:lang w:val="es-ES_tradnl"/>
              </w:rPr>
              <w:t>B</w:t>
            </w:r>
            <w:r w:rsidRPr="00B71D90">
              <w:rPr>
                <w:rFonts w:cs="Arial"/>
                <w:b/>
                <w:bCs/>
                <w:szCs w:val="20"/>
                <w:lang w:val="es-ES_tradnl"/>
              </w:rPr>
              <w:t xml:space="preserve">A, </w:t>
            </w:r>
            <w:r>
              <w:rPr>
                <w:rFonts w:cs="Arial"/>
                <w:b/>
                <w:bCs/>
                <w:szCs w:val="20"/>
                <w:lang w:val="es-ES_tradnl"/>
              </w:rPr>
              <w:t xml:space="preserve">MPH, </w:t>
            </w:r>
            <w:r w:rsidRPr="00B71D90">
              <w:rPr>
                <w:rFonts w:cs="Arial"/>
                <w:b/>
                <w:bCs/>
                <w:szCs w:val="20"/>
                <w:lang w:val="es-ES_tradnl"/>
              </w:rPr>
              <w:t>CHCA</w:t>
            </w:r>
            <w:r w:rsidRPr="00B71D90">
              <w:rPr>
                <w:lang w:val="es-ES_tradnl"/>
              </w:rPr>
              <w:br/>
            </w:r>
            <w:r w:rsidRPr="00B71D90">
              <w:rPr>
                <w:rFonts w:cs="Arial"/>
                <w:szCs w:val="20"/>
                <w:lang w:val="es-ES_tradnl"/>
              </w:rPr>
              <w:t>MetaStar, Inc.</w:t>
            </w:r>
          </w:p>
          <w:p w:rsidR="00F70355" w:rsidRPr="00B71D90" w:rsidRDefault="00F70355" w:rsidP="008C196C">
            <w:pPr>
              <w:spacing w:before="180"/>
              <w:rPr>
                <w:rFonts w:cs="Arial"/>
                <w:b/>
                <w:bCs/>
                <w:szCs w:val="20"/>
              </w:rPr>
            </w:pPr>
            <w:r w:rsidRPr="00B71D90">
              <w:rPr>
                <w:rFonts w:cs="Arial"/>
                <w:b/>
                <w:bCs/>
                <w:szCs w:val="20"/>
              </w:rPr>
              <w:t>Katharine Iskrant, MPH, CHCA</w:t>
            </w:r>
          </w:p>
          <w:p w:rsidR="00214289" w:rsidRPr="00B71D90" w:rsidRDefault="00F70355" w:rsidP="00F70355">
            <w:pPr>
              <w:rPr>
                <w:rFonts w:cs="Arial"/>
                <w:bCs/>
                <w:szCs w:val="20"/>
              </w:rPr>
            </w:pPr>
            <w:r w:rsidRPr="00B71D90">
              <w:rPr>
                <w:rFonts w:cs="Arial"/>
                <w:bCs/>
                <w:szCs w:val="20"/>
              </w:rPr>
              <w:t>Healthy People, Inc.</w:t>
            </w:r>
          </w:p>
          <w:p w:rsidR="00641BF9" w:rsidRPr="00B71D90" w:rsidRDefault="00641BF9" w:rsidP="006D243A">
            <w:pPr>
              <w:spacing w:before="180"/>
              <w:rPr>
                <w:rFonts w:cs="Arial"/>
                <w:szCs w:val="20"/>
              </w:rPr>
            </w:pPr>
            <w:r w:rsidRPr="00B71D90">
              <w:rPr>
                <w:rFonts w:cs="Arial"/>
                <w:b/>
                <w:bCs/>
                <w:szCs w:val="20"/>
              </w:rPr>
              <w:t>Tina Kind, MBA, CHCA</w:t>
            </w:r>
            <w:r w:rsidRPr="00B71D90">
              <w:rPr>
                <w:rFonts w:cs="Arial"/>
                <w:b/>
                <w:bCs/>
                <w:szCs w:val="20"/>
              </w:rPr>
              <w:br/>
            </w:r>
            <w:r w:rsidRPr="00B71D90">
              <w:rPr>
                <w:rFonts w:cs="Arial"/>
                <w:szCs w:val="20"/>
              </w:rPr>
              <w:t>DTS Group, LLC</w:t>
            </w:r>
          </w:p>
          <w:p w:rsidR="00560A63" w:rsidRPr="00B71D90" w:rsidRDefault="00E83F44" w:rsidP="00560A63">
            <w:pPr>
              <w:spacing w:before="180"/>
              <w:rPr>
                <w:rFonts w:cs="Arial"/>
                <w:szCs w:val="20"/>
              </w:rPr>
            </w:pPr>
            <w:r w:rsidRPr="00B71D90">
              <w:rPr>
                <w:rFonts w:cs="Arial"/>
                <w:b/>
                <w:bCs/>
                <w:szCs w:val="20"/>
              </w:rPr>
              <w:t>Chuck Merlino, MBA, CHCA</w:t>
            </w:r>
            <w:r w:rsidRPr="00B71D90">
              <w:rPr>
                <w:rFonts w:cs="Arial"/>
                <w:b/>
                <w:bCs/>
                <w:szCs w:val="20"/>
              </w:rPr>
              <w:br/>
            </w:r>
            <w:r w:rsidRPr="00B71D90">
              <w:rPr>
                <w:rFonts w:cs="Arial"/>
                <w:szCs w:val="20"/>
              </w:rPr>
              <w:t xml:space="preserve">IPRO </w:t>
            </w:r>
          </w:p>
          <w:p w:rsidR="00886C53" w:rsidRPr="00B71D90" w:rsidRDefault="00886C53" w:rsidP="00560A63">
            <w:pPr>
              <w:spacing w:before="180"/>
              <w:rPr>
                <w:rFonts w:cs="Arial"/>
                <w:sz w:val="12"/>
                <w:szCs w:val="12"/>
              </w:rPr>
            </w:pPr>
            <w:r w:rsidRPr="00B71D90">
              <w:rPr>
                <w:rFonts w:cs="Arial"/>
                <w:b/>
                <w:bCs/>
                <w:szCs w:val="20"/>
              </w:rPr>
              <w:t>Paul Mertel, Jr., PhD, CHCA</w:t>
            </w:r>
            <w:r w:rsidRPr="00B71D90">
              <w:rPr>
                <w:rFonts w:cs="Arial"/>
                <w:b/>
                <w:bCs/>
                <w:szCs w:val="20"/>
              </w:rPr>
              <w:br/>
            </w:r>
            <w:r w:rsidRPr="00B71D90">
              <w:rPr>
                <w:rFonts w:cs="Arial"/>
                <w:szCs w:val="20"/>
              </w:rPr>
              <w:t>HealthcareData Company, LLC</w:t>
            </w:r>
          </w:p>
        </w:tc>
        <w:tc>
          <w:tcPr>
            <w:tcW w:w="4884" w:type="dxa"/>
            <w:tcBorders>
              <w:bottom w:val="nil"/>
            </w:tcBorders>
          </w:tcPr>
          <w:p w:rsidR="00641BF9" w:rsidRPr="00B71D90" w:rsidRDefault="00641BF9" w:rsidP="006D243A">
            <w:pPr>
              <w:spacing w:before="180"/>
              <w:rPr>
                <w:rFonts w:cs="Arial"/>
                <w:szCs w:val="20"/>
              </w:rPr>
            </w:pPr>
            <w:r w:rsidRPr="00B71D90">
              <w:rPr>
                <w:rFonts w:cs="Arial"/>
                <w:b/>
                <w:bCs/>
                <w:szCs w:val="20"/>
              </w:rPr>
              <w:t>Robert Oakleaf, MA, CHCA</w:t>
            </w:r>
            <w:r w:rsidRPr="00B71D90">
              <w:rPr>
                <w:rFonts w:cs="Arial"/>
                <w:b/>
                <w:bCs/>
                <w:szCs w:val="20"/>
              </w:rPr>
              <w:br/>
            </w:r>
            <w:r w:rsidRPr="00B71D90">
              <w:rPr>
                <w:rFonts w:cs="Arial"/>
                <w:szCs w:val="20"/>
              </w:rPr>
              <w:t>Attest Health Care Advisors, LLC</w:t>
            </w:r>
          </w:p>
          <w:p w:rsidR="00641BF9" w:rsidRPr="00B71D90" w:rsidRDefault="00641BF9" w:rsidP="006D243A">
            <w:pPr>
              <w:spacing w:before="180"/>
              <w:rPr>
                <w:rFonts w:cs="Arial"/>
                <w:szCs w:val="20"/>
              </w:rPr>
            </w:pPr>
            <w:r w:rsidRPr="00B71D90">
              <w:rPr>
                <w:rFonts w:cs="Arial"/>
                <w:b/>
                <w:bCs/>
                <w:szCs w:val="20"/>
              </w:rPr>
              <w:t>Anu Sajja, MPH, CHCA</w:t>
            </w:r>
            <w:r w:rsidRPr="00B71D90">
              <w:rPr>
                <w:rFonts w:cs="Arial"/>
                <w:b/>
                <w:bCs/>
                <w:szCs w:val="20"/>
              </w:rPr>
              <w:br/>
            </w:r>
            <w:r w:rsidR="005F1E57" w:rsidRPr="00B71D90">
              <w:rPr>
                <w:rFonts w:eastAsia="Calibri"/>
                <w:szCs w:val="18"/>
              </w:rPr>
              <w:t>AQurate Health Data Management, Inc.</w:t>
            </w:r>
          </w:p>
          <w:p w:rsidR="00886C53" w:rsidRPr="00B71D90" w:rsidRDefault="00560A63" w:rsidP="00886C53">
            <w:pPr>
              <w:pStyle w:val="Body"/>
              <w:rPr>
                <w:b/>
                <w:bCs/>
              </w:rPr>
            </w:pPr>
            <w:r w:rsidRPr="00B71D90">
              <w:rPr>
                <w:b/>
                <w:bCs/>
              </w:rPr>
              <w:t>Wendy Talbot, MPH</w:t>
            </w:r>
            <w:r w:rsidR="00886C53" w:rsidRPr="00B71D90">
              <w:rPr>
                <w:rFonts w:cs="Arial"/>
                <w:b/>
                <w:bCs/>
                <w:szCs w:val="20"/>
              </w:rPr>
              <w:t>, CHCA</w:t>
            </w:r>
            <w:r w:rsidR="00886C53" w:rsidRPr="00B71D90">
              <w:rPr>
                <w:b/>
                <w:bCs/>
              </w:rPr>
              <w:br/>
            </w:r>
            <w:r w:rsidR="00886C53" w:rsidRPr="00B71D90">
              <w:t>Health Services Advisory Group</w:t>
            </w:r>
            <w:r w:rsidR="00886C53" w:rsidRPr="00B71D90">
              <w:rPr>
                <w:b/>
                <w:bCs/>
              </w:rPr>
              <w:t xml:space="preserve"> </w:t>
            </w:r>
          </w:p>
          <w:p w:rsidR="00641BF9" w:rsidRPr="00B71D90" w:rsidRDefault="00641BF9" w:rsidP="006D243A">
            <w:pPr>
              <w:pStyle w:val="Body"/>
            </w:pPr>
            <w:r w:rsidRPr="00B71D90">
              <w:rPr>
                <w:b/>
                <w:bCs/>
              </w:rPr>
              <w:t>Jean Vertefeuille</w:t>
            </w:r>
            <w:r w:rsidRPr="00B71D90">
              <w:rPr>
                <w:rFonts w:cs="Arial"/>
                <w:b/>
                <w:bCs/>
                <w:szCs w:val="20"/>
              </w:rPr>
              <w:t>, MA, CHCA</w:t>
            </w:r>
            <w:r w:rsidRPr="00B71D90">
              <w:rPr>
                <w:b/>
                <w:bCs/>
              </w:rPr>
              <w:br/>
            </w:r>
            <w:r w:rsidRPr="00B71D90">
              <w:t>Advent Advisory Group</w:t>
            </w:r>
            <w:r w:rsidR="00555636" w:rsidRPr="00B71D90">
              <w:t>. LLC</w:t>
            </w:r>
          </w:p>
        </w:tc>
      </w:tr>
    </w:tbl>
    <w:p w:rsidR="00B82E95" w:rsidRPr="00B71D90" w:rsidRDefault="00B82E95"/>
    <w:p w:rsidR="00B82E95" w:rsidRPr="00B71D90" w:rsidRDefault="00B82E95"/>
    <w:p w:rsidR="00803967" w:rsidRPr="00B71D90" w:rsidRDefault="00803967"/>
    <w:p w:rsidR="00803967" w:rsidRPr="00B71D90" w:rsidRDefault="00803967" w:rsidP="00560A63">
      <w:pPr>
        <w:pStyle w:val="Heading2"/>
        <w:sectPr w:rsidR="00803967" w:rsidRPr="00B71D90" w:rsidSect="00550D6B">
          <w:headerReference w:type="even" r:id="rId22"/>
          <w:headerReference w:type="default" r:id="rId23"/>
          <w:footerReference w:type="default" r:id="rId24"/>
          <w:footnotePr>
            <w:numStart w:val="2"/>
          </w:footnotePr>
          <w:pgSz w:w="12240" w:h="15840" w:code="1"/>
          <w:pgMar w:top="1080" w:right="1080" w:bottom="1080" w:left="1440" w:header="720" w:footer="720" w:gutter="0"/>
          <w:cols w:space="720"/>
        </w:sectPr>
      </w:pPr>
    </w:p>
    <w:p w:rsidR="00803967" w:rsidRPr="00B71D90" w:rsidRDefault="00803967">
      <w:pPr>
        <w:pStyle w:val="StdTitle"/>
        <w:jc w:val="center"/>
        <w:rPr>
          <w:sz w:val="24"/>
        </w:rPr>
      </w:pPr>
      <w:r w:rsidRPr="00B71D90">
        <w:rPr>
          <w:sz w:val="32"/>
        </w:rPr>
        <w:lastRenderedPageBreak/>
        <w:t>Table of Contents</w:t>
      </w:r>
    </w:p>
    <w:p w:rsidR="009A1213" w:rsidRPr="009A1213" w:rsidRDefault="009A1213" w:rsidP="004417CA">
      <w:pPr>
        <w:tabs>
          <w:tab w:val="left" w:pos="1620"/>
          <w:tab w:val="right" w:leader="dot" w:pos="9720"/>
        </w:tabs>
        <w:spacing w:before="180"/>
        <w:rPr>
          <w:rFonts w:cs="Arial"/>
          <w:b/>
          <w:noProof/>
          <w:sz w:val="22"/>
        </w:rPr>
      </w:pPr>
      <w:r w:rsidRPr="009A1213">
        <w:rPr>
          <w:rFonts w:cs="Arial"/>
          <w:b/>
          <w:noProof/>
          <w:sz w:val="22"/>
        </w:rPr>
        <w:t>Overview</w:t>
      </w:r>
    </w:p>
    <w:p w:rsidR="009A1213" w:rsidRPr="009A1213" w:rsidRDefault="009A1213" w:rsidP="009A1213">
      <w:pPr>
        <w:tabs>
          <w:tab w:val="left" w:pos="1080"/>
          <w:tab w:val="right" w:leader="dot" w:pos="9720"/>
        </w:tabs>
        <w:ind w:left="360"/>
        <w:rPr>
          <w:rFonts w:cs="Arial"/>
        </w:rPr>
      </w:pPr>
      <w:r w:rsidRPr="009A1213">
        <w:rPr>
          <w:rFonts w:cs="Arial"/>
        </w:rPr>
        <w:t>HEDIS 2013</w:t>
      </w:r>
      <w:r w:rsidRPr="009A1213">
        <w:rPr>
          <w:rFonts w:cs="Arial"/>
        </w:rPr>
        <w:tab/>
        <w:t>1</w:t>
      </w:r>
    </w:p>
    <w:p w:rsidR="009A1213" w:rsidRPr="009A1213" w:rsidRDefault="009A1213" w:rsidP="009A1213">
      <w:pPr>
        <w:tabs>
          <w:tab w:val="left" w:pos="1080"/>
          <w:tab w:val="right" w:leader="dot" w:pos="9720"/>
        </w:tabs>
        <w:ind w:left="360"/>
        <w:rPr>
          <w:rFonts w:cs="Arial"/>
        </w:rPr>
      </w:pPr>
      <w:r w:rsidRPr="009A1213">
        <w:rPr>
          <w:rFonts w:cs="Arial"/>
        </w:rPr>
        <w:t>WHP 2013</w:t>
      </w:r>
      <w:r w:rsidRPr="009A1213">
        <w:rPr>
          <w:rFonts w:cs="Arial"/>
        </w:rPr>
        <w:tab/>
        <w:t>1</w:t>
      </w:r>
    </w:p>
    <w:p w:rsidR="009A1213" w:rsidRPr="009A1213" w:rsidRDefault="009A1213" w:rsidP="009A1213">
      <w:pPr>
        <w:tabs>
          <w:tab w:val="left" w:pos="1080"/>
          <w:tab w:val="right" w:leader="dot" w:pos="9720"/>
        </w:tabs>
        <w:ind w:left="360"/>
        <w:rPr>
          <w:rFonts w:cs="Arial"/>
        </w:rPr>
      </w:pPr>
      <w:r w:rsidRPr="009A1213">
        <w:rPr>
          <w:rFonts w:cs="Arial"/>
        </w:rPr>
        <w:t>DM 2013</w:t>
      </w:r>
      <w:r w:rsidRPr="009A1213">
        <w:rPr>
          <w:rFonts w:cs="Arial"/>
        </w:rPr>
        <w:tab/>
        <w:t>2</w:t>
      </w:r>
    </w:p>
    <w:p w:rsidR="009A1213" w:rsidRPr="009A1213" w:rsidRDefault="009A1213" w:rsidP="009A1213">
      <w:pPr>
        <w:tabs>
          <w:tab w:val="left" w:pos="1080"/>
          <w:tab w:val="right" w:leader="dot" w:pos="9720"/>
        </w:tabs>
        <w:ind w:left="360"/>
        <w:rPr>
          <w:rFonts w:cs="Arial"/>
        </w:rPr>
      </w:pPr>
      <w:r w:rsidRPr="009A1213">
        <w:rPr>
          <w:rFonts w:cs="Arial"/>
        </w:rPr>
        <w:t>How Measures Are Developed</w:t>
      </w:r>
      <w:r w:rsidRPr="009A1213">
        <w:rPr>
          <w:rFonts w:cs="Arial"/>
        </w:rPr>
        <w:tab/>
        <w:t>2</w:t>
      </w:r>
    </w:p>
    <w:p w:rsidR="009A1213" w:rsidRPr="009A1213" w:rsidRDefault="009A1213" w:rsidP="009A1213">
      <w:pPr>
        <w:tabs>
          <w:tab w:val="left" w:pos="1080"/>
          <w:tab w:val="right" w:leader="dot" w:pos="9720"/>
        </w:tabs>
        <w:ind w:left="360"/>
        <w:rPr>
          <w:rFonts w:cs="Arial"/>
        </w:rPr>
      </w:pPr>
      <w:r w:rsidRPr="009A1213">
        <w:rPr>
          <w:rFonts w:cs="Arial"/>
        </w:rPr>
        <w:t>What’s New in Volume 5?</w:t>
      </w:r>
      <w:r w:rsidRPr="009A1213">
        <w:rPr>
          <w:rFonts w:cs="Arial"/>
        </w:rPr>
        <w:tab/>
        <w:t>2</w:t>
      </w:r>
    </w:p>
    <w:p w:rsidR="009A1213" w:rsidRPr="009A1213" w:rsidRDefault="009A1213" w:rsidP="009A1213">
      <w:pPr>
        <w:tabs>
          <w:tab w:val="left" w:pos="1080"/>
          <w:tab w:val="right" w:leader="dot" w:pos="9720"/>
        </w:tabs>
        <w:ind w:left="360"/>
        <w:rPr>
          <w:rFonts w:cs="Arial"/>
          <w:smallCaps/>
        </w:rPr>
      </w:pPr>
      <w:r w:rsidRPr="009A1213">
        <w:rPr>
          <w:rFonts w:cs="Arial"/>
        </w:rPr>
        <w:t>How Volume 5 Is Organized</w:t>
      </w:r>
      <w:r w:rsidRPr="009A1213">
        <w:rPr>
          <w:rFonts w:cs="Arial"/>
          <w:smallCaps/>
        </w:rPr>
        <w:tab/>
        <w:t>2</w:t>
      </w:r>
    </w:p>
    <w:p w:rsidR="009A1213" w:rsidRPr="009A1213" w:rsidRDefault="009A1213" w:rsidP="009A1213">
      <w:pPr>
        <w:tabs>
          <w:tab w:val="left" w:pos="1080"/>
          <w:tab w:val="right" w:leader="dot" w:pos="9720"/>
        </w:tabs>
        <w:ind w:left="360"/>
        <w:rPr>
          <w:rFonts w:cs="Arial"/>
        </w:rPr>
      </w:pPr>
      <w:r w:rsidRPr="009A1213">
        <w:rPr>
          <w:rFonts w:cs="Arial"/>
        </w:rPr>
        <w:t>If You Have Questions About the Specifications</w:t>
      </w:r>
      <w:r w:rsidRPr="009A1213">
        <w:rPr>
          <w:rFonts w:cs="Arial"/>
        </w:rPr>
        <w:tab/>
        <w:t>3</w:t>
      </w:r>
    </w:p>
    <w:p w:rsidR="009A1213" w:rsidRPr="009A1213" w:rsidRDefault="009A1213" w:rsidP="004417CA">
      <w:pPr>
        <w:tabs>
          <w:tab w:val="left" w:pos="1620"/>
          <w:tab w:val="right" w:leader="dot" w:pos="9720"/>
        </w:tabs>
        <w:spacing w:before="180"/>
        <w:rPr>
          <w:rFonts w:cs="Arial"/>
          <w:b/>
          <w:noProof/>
          <w:sz w:val="22"/>
        </w:rPr>
      </w:pPr>
      <w:r w:rsidRPr="009A1213">
        <w:rPr>
          <w:rFonts w:cs="Arial"/>
          <w:b/>
          <w:noProof/>
          <w:sz w:val="22"/>
        </w:rPr>
        <w:t>Introduction</w:t>
      </w:r>
    </w:p>
    <w:p w:rsidR="009A1213" w:rsidRPr="009A1213" w:rsidRDefault="009A1213" w:rsidP="009A1213">
      <w:pPr>
        <w:tabs>
          <w:tab w:val="left" w:pos="1080"/>
          <w:tab w:val="right" w:leader="dot" w:pos="9720"/>
        </w:tabs>
        <w:ind w:left="180" w:firstLine="180"/>
        <w:rPr>
          <w:rFonts w:cs="Arial"/>
        </w:rPr>
      </w:pPr>
      <w:r w:rsidRPr="009A1213">
        <w:rPr>
          <w:rFonts w:cs="Arial"/>
        </w:rPr>
        <w:t>Background</w:t>
      </w:r>
      <w:r w:rsidRPr="009A1213">
        <w:rPr>
          <w:rFonts w:cs="Arial"/>
        </w:rPr>
        <w:tab/>
        <w:t>7</w:t>
      </w:r>
    </w:p>
    <w:p w:rsidR="009A1213" w:rsidRPr="009A1213" w:rsidRDefault="009A1213" w:rsidP="009A1213">
      <w:pPr>
        <w:tabs>
          <w:tab w:val="left" w:pos="1080"/>
          <w:tab w:val="right" w:leader="dot" w:pos="9720"/>
        </w:tabs>
        <w:ind w:left="180" w:firstLine="180"/>
        <w:rPr>
          <w:rFonts w:cs="Arial"/>
        </w:rPr>
      </w:pPr>
      <w:r w:rsidRPr="009A1213">
        <w:rPr>
          <w:rFonts w:cs="Arial"/>
        </w:rPr>
        <w:t>The Audit Process</w:t>
      </w:r>
      <w:r w:rsidRPr="009A1213">
        <w:rPr>
          <w:rFonts w:cs="Arial"/>
        </w:rPr>
        <w:tab/>
        <w:t>9</w:t>
      </w:r>
    </w:p>
    <w:p w:rsidR="009A1213" w:rsidRPr="009A1213" w:rsidRDefault="009A1213" w:rsidP="009A1213">
      <w:pPr>
        <w:tabs>
          <w:tab w:val="left" w:pos="1080"/>
          <w:tab w:val="right" w:leader="dot" w:pos="9720"/>
        </w:tabs>
        <w:ind w:left="540"/>
        <w:rPr>
          <w:rFonts w:cs="Arial"/>
        </w:rPr>
      </w:pPr>
      <w:r w:rsidRPr="009A1213">
        <w:rPr>
          <w:rFonts w:cs="Arial"/>
        </w:rPr>
        <w:t>Offsite Audit Process</w:t>
      </w:r>
      <w:r w:rsidRPr="009A1213">
        <w:rPr>
          <w:rFonts w:cs="Arial"/>
        </w:rPr>
        <w:tab/>
        <w:t>9</w:t>
      </w:r>
    </w:p>
    <w:p w:rsidR="009A1213" w:rsidRPr="009A1213" w:rsidRDefault="009A1213" w:rsidP="009A1213">
      <w:pPr>
        <w:tabs>
          <w:tab w:val="left" w:pos="1080"/>
          <w:tab w:val="right" w:leader="dot" w:pos="9720"/>
        </w:tabs>
        <w:ind w:left="540"/>
        <w:rPr>
          <w:rFonts w:cs="Arial"/>
        </w:rPr>
      </w:pPr>
      <w:r w:rsidRPr="009A1213">
        <w:rPr>
          <w:rFonts w:cs="Arial"/>
        </w:rPr>
        <w:t>Onsite Audit Process</w:t>
      </w:r>
      <w:r w:rsidRPr="009A1213">
        <w:rPr>
          <w:rFonts w:cs="Arial"/>
        </w:rPr>
        <w:tab/>
        <w:t>10</w:t>
      </w:r>
    </w:p>
    <w:p w:rsidR="009A1213" w:rsidRPr="009A1213" w:rsidRDefault="009A1213" w:rsidP="009A1213">
      <w:pPr>
        <w:tabs>
          <w:tab w:val="left" w:pos="1080"/>
          <w:tab w:val="right" w:leader="dot" w:pos="9720"/>
        </w:tabs>
        <w:ind w:left="540"/>
        <w:rPr>
          <w:rFonts w:cs="Arial"/>
        </w:rPr>
      </w:pPr>
      <w:r w:rsidRPr="009A1213">
        <w:rPr>
          <w:rFonts w:cs="Arial"/>
        </w:rPr>
        <w:t>Post-Onsite and Reporting</w:t>
      </w:r>
      <w:r w:rsidRPr="009A1213">
        <w:rPr>
          <w:rFonts w:cs="Arial"/>
        </w:rPr>
        <w:tab/>
        <w:t>10</w:t>
      </w:r>
    </w:p>
    <w:p w:rsidR="009A1213" w:rsidRPr="009A1213" w:rsidRDefault="009A1213" w:rsidP="009A1213">
      <w:pPr>
        <w:tabs>
          <w:tab w:val="left" w:pos="1080"/>
          <w:tab w:val="right" w:leader="dot" w:pos="9720"/>
        </w:tabs>
        <w:ind w:left="540"/>
        <w:rPr>
          <w:rFonts w:cs="Arial"/>
        </w:rPr>
      </w:pPr>
      <w:r w:rsidRPr="009A1213">
        <w:rPr>
          <w:rFonts w:cs="Arial"/>
        </w:rPr>
        <w:t>Software Certification</w:t>
      </w:r>
      <w:r w:rsidRPr="009A1213">
        <w:rPr>
          <w:rFonts w:cs="Arial"/>
        </w:rPr>
        <w:tab/>
        <w:t>10</w:t>
      </w:r>
    </w:p>
    <w:p w:rsidR="009A1213" w:rsidRPr="009A1213" w:rsidRDefault="009A1213" w:rsidP="009A1213">
      <w:pPr>
        <w:tabs>
          <w:tab w:val="left" w:pos="1080"/>
          <w:tab w:val="right" w:leader="dot" w:pos="9720"/>
        </w:tabs>
        <w:ind w:left="540"/>
        <w:rPr>
          <w:rFonts w:cs="Arial"/>
        </w:rPr>
      </w:pPr>
      <w:r w:rsidRPr="009A1213">
        <w:rPr>
          <w:rFonts w:cs="Arial"/>
        </w:rPr>
        <w:t>Survey-Only Audits</w:t>
      </w:r>
      <w:r w:rsidRPr="009A1213">
        <w:rPr>
          <w:rFonts w:cs="Arial"/>
        </w:rPr>
        <w:tab/>
        <w:t>12</w:t>
      </w:r>
    </w:p>
    <w:p w:rsidR="009A1213" w:rsidRPr="009A1213" w:rsidRDefault="009A1213" w:rsidP="009A1213">
      <w:pPr>
        <w:tabs>
          <w:tab w:val="left" w:pos="1080"/>
          <w:tab w:val="right" w:leader="dot" w:pos="9720"/>
        </w:tabs>
        <w:ind w:left="540"/>
        <w:rPr>
          <w:rFonts w:cs="Arial"/>
        </w:rPr>
      </w:pPr>
      <w:r w:rsidRPr="009A1213">
        <w:rPr>
          <w:rFonts w:cs="Arial"/>
        </w:rPr>
        <w:t>WHP Audits</w:t>
      </w:r>
      <w:r w:rsidRPr="009A1213">
        <w:rPr>
          <w:rFonts w:cs="Arial"/>
        </w:rPr>
        <w:tab/>
        <w:t>13</w:t>
      </w:r>
    </w:p>
    <w:p w:rsidR="009A1213" w:rsidRPr="009A1213" w:rsidRDefault="009A1213" w:rsidP="009A1213">
      <w:pPr>
        <w:tabs>
          <w:tab w:val="left" w:pos="1080"/>
          <w:tab w:val="right" w:leader="dot" w:pos="9720"/>
        </w:tabs>
        <w:ind w:left="540"/>
        <w:rPr>
          <w:rFonts w:cs="Arial"/>
        </w:rPr>
      </w:pPr>
      <w:r w:rsidRPr="009A1213">
        <w:rPr>
          <w:rFonts w:cs="Arial"/>
        </w:rPr>
        <w:t>DM Audits</w:t>
      </w:r>
      <w:r w:rsidRPr="009A1213">
        <w:rPr>
          <w:rFonts w:cs="Arial"/>
        </w:rPr>
        <w:tab/>
        <w:t>14</w:t>
      </w:r>
    </w:p>
    <w:p w:rsidR="009A1213" w:rsidRPr="009A1213" w:rsidRDefault="009A1213" w:rsidP="004417CA">
      <w:pPr>
        <w:tabs>
          <w:tab w:val="left" w:pos="1620"/>
          <w:tab w:val="right" w:leader="dot" w:pos="9720"/>
        </w:tabs>
        <w:spacing w:before="180"/>
        <w:rPr>
          <w:rFonts w:cs="Arial"/>
          <w:b/>
          <w:i/>
          <w:noProof/>
          <w:sz w:val="22"/>
        </w:rPr>
      </w:pPr>
      <w:r w:rsidRPr="009A1213">
        <w:rPr>
          <w:rFonts w:cs="Arial"/>
          <w:b/>
          <w:noProof/>
          <w:sz w:val="22"/>
        </w:rPr>
        <w:t>Policies and Procedures</w:t>
      </w:r>
    </w:p>
    <w:p w:rsidR="009A1213" w:rsidRPr="009A1213" w:rsidRDefault="009A1213" w:rsidP="009A1213">
      <w:pPr>
        <w:tabs>
          <w:tab w:val="left" w:pos="1080"/>
          <w:tab w:val="right" w:leader="dot" w:pos="9720"/>
        </w:tabs>
        <w:ind w:left="360"/>
        <w:rPr>
          <w:rFonts w:cs="Arial"/>
        </w:rPr>
      </w:pPr>
      <w:r w:rsidRPr="009A1213">
        <w:rPr>
          <w:rFonts w:cs="Arial"/>
        </w:rPr>
        <w:t>The NCQA HEDIS Compliance Audit</w:t>
      </w:r>
      <w:r w:rsidRPr="009A1213">
        <w:rPr>
          <w:rFonts w:cs="Arial"/>
        </w:rPr>
        <w:tab/>
        <w:t>19</w:t>
      </w:r>
    </w:p>
    <w:p w:rsidR="009A1213" w:rsidRPr="009A1213" w:rsidRDefault="009A1213" w:rsidP="009A1213">
      <w:pPr>
        <w:tabs>
          <w:tab w:val="left" w:pos="1080"/>
          <w:tab w:val="right" w:leader="dot" w:pos="9720"/>
        </w:tabs>
        <w:ind w:left="360"/>
        <w:rPr>
          <w:rFonts w:cs="Arial"/>
        </w:rPr>
      </w:pPr>
      <w:r w:rsidRPr="009A1213">
        <w:rPr>
          <w:rFonts w:cs="Arial"/>
        </w:rPr>
        <w:t>Monitoring and Oversight of HEDIS Audits</w:t>
      </w:r>
      <w:r w:rsidRPr="009A1213">
        <w:rPr>
          <w:rFonts w:cs="Arial"/>
        </w:rPr>
        <w:tab/>
        <w:t>20</w:t>
      </w:r>
    </w:p>
    <w:p w:rsidR="009A1213" w:rsidRPr="009A1213" w:rsidRDefault="009A1213" w:rsidP="009A1213">
      <w:pPr>
        <w:tabs>
          <w:tab w:val="left" w:pos="1080"/>
          <w:tab w:val="right" w:leader="dot" w:pos="9720"/>
        </w:tabs>
        <w:ind w:left="360"/>
        <w:rPr>
          <w:rFonts w:cs="Arial"/>
        </w:rPr>
      </w:pPr>
      <w:r w:rsidRPr="009A1213">
        <w:rPr>
          <w:rFonts w:cs="Arial"/>
        </w:rPr>
        <w:t>Portability of Opinion</w:t>
      </w:r>
      <w:r w:rsidRPr="009A1213">
        <w:rPr>
          <w:rFonts w:cs="Arial"/>
        </w:rPr>
        <w:tab/>
        <w:t>21</w:t>
      </w:r>
    </w:p>
    <w:p w:rsidR="009A1213" w:rsidRPr="009A1213" w:rsidRDefault="009A1213" w:rsidP="009A1213">
      <w:pPr>
        <w:tabs>
          <w:tab w:val="left" w:pos="1080"/>
          <w:tab w:val="right" w:leader="dot" w:pos="9720"/>
        </w:tabs>
        <w:ind w:left="360"/>
        <w:rPr>
          <w:rFonts w:cs="Arial"/>
        </w:rPr>
      </w:pPr>
      <w:r w:rsidRPr="009A1213">
        <w:rPr>
          <w:rFonts w:cs="Arial"/>
        </w:rPr>
        <w:t>Audit Appeal and Grievance Procedures</w:t>
      </w:r>
      <w:r w:rsidRPr="009A1213">
        <w:rPr>
          <w:rFonts w:cs="Arial"/>
        </w:rPr>
        <w:tab/>
        <w:t>21</w:t>
      </w:r>
    </w:p>
    <w:p w:rsidR="009A1213" w:rsidRPr="009A1213" w:rsidRDefault="009A1213" w:rsidP="009A1213">
      <w:pPr>
        <w:tabs>
          <w:tab w:val="left" w:pos="1080"/>
          <w:tab w:val="right" w:leader="dot" w:pos="9720"/>
        </w:tabs>
        <w:ind w:left="360"/>
        <w:rPr>
          <w:rFonts w:cs="Arial"/>
        </w:rPr>
      </w:pPr>
      <w:r w:rsidRPr="009A1213">
        <w:rPr>
          <w:rFonts w:cs="Arial"/>
        </w:rPr>
        <w:t>Revisions to Policies and Procedures</w:t>
      </w:r>
      <w:r w:rsidRPr="009A1213">
        <w:rPr>
          <w:rFonts w:cs="Arial"/>
        </w:rPr>
        <w:tab/>
        <w:t>21</w:t>
      </w:r>
    </w:p>
    <w:p w:rsidR="009A1213" w:rsidRPr="009A1213" w:rsidRDefault="009A1213" w:rsidP="004417CA">
      <w:pPr>
        <w:tabs>
          <w:tab w:val="left" w:pos="1620"/>
          <w:tab w:val="right" w:leader="dot" w:pos="9720"/>
        </w:tabs>
        <w:spacing w:before="180"/>
        <w:rPr>
          <w:rFonts w:cs="Arial"/>
          <w:b/>
          <w:i/>
          <w:noProof/>
          <w:sz w:val="22"/>
        </w:rPr>
      </w:pPr>
      <w:r w:rsidRPr="009A1213">
        <w:rPr>
          <w:rFonts w:cs="Arial"/>
          <w:b/>
          <w:noProof/>
          <w:sz w:val="22"/>
        </w:rPr>
        <w:t>HEDIS Compliance Audit Standards</w:t>
      </w:r>
    </w:p>
    <w:p w:rsidR="009A1213" w:rsidRPr="009A1213" w:rsidRDefault="009A1213" w:rsidP="009A1213">
      <w:pPr>
        <w:tabs>
          <w:tab w:val="left" w:pos="1080"/>
          <w:tab w:val="right" w:leader="dot" w:pos="9720"/>
        </w:tabs>
        <w:ind w:left="360" w:hanging="180"/>
      </w:pPr>
      <w:r w:rsidRPr="009A1213">
        <w:t>HEDIS Compliance Audit Standards</w:t>
      </w:r>
      <w:r w:rsidRPr="009A1213">
        <w:tab/>
        <w:t>25</w:t>
      </w:r>
    </w:p>
    <w:p w:rsidR="009A1213" w:rsidRPr="009A1213" w:rsidRDefault="009A1213" w:rsidP="009A1213">
      <w:pPr>
        <w:tabs>
          <w:tab w:val="left" w:pos="1080"/>
          <w:tab w:val="right" w:leader="dot" w:pos="9720"/>
        </w:tabs>
        <w:ind w:left="360" w:firstLine="180"/>
      </w:pPr>
      <w:r w:rsidRPr="009A1213">
        <w:t>Information System Standards</w:t>
      </w:r>
      <w:r w:rsidRPr="009A1213">
        <w:tab/>
        <w:t>26</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IS 1.0</w:t>
      </w:r>
      <w:r w:rsidRPr="009A1213">
        <w:rPr>
          <w:rFonts w:cs="Arial"/>
        </w:rPr>
        <w:tab/>
        <w:t>Medical Services Data</w:t>
      </w:r>
      <w:r w:rsidRPr="009A1213">
        <w:rPr>
          <w:rFonts w:cs="Arial"/>
        </w:rPr>
        <w:tab/>
        <w:t>26</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2.0 </w:t>
      </w:r>
      <w:r w:rsidRPr="009A1213">
        <w:rPr>
          <w:rFonts w:cs="Arial"/>
        </w:rPr>
        <w:tab/>
        <w:t>Enrollment Data</w:t>
      </w:r>
      <w:r w:rsidRPr="009A1213">
        <w:rPr>
          <w:rFonts w:cs="Arial"/>
        </w:rPr>
        <w:tab/>
        <w:t>28</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3.0 </w:t>
      </w:r>
      <w:r w:rsidRPr="009A1213">
        <w:rPr>
          <w:rFonts w:cs="Arial"/>
        </w:rPr>
        <w:tab/>
        <w:t>Practitioner Data</w:t>
      </w:r>
      <w:r w:rsidRPr="009A1213">
        <w:rPr>
          <w:rFonts w:cs="Arial"/>
        </w:rPr>
        <w:tab/>
        <w:t>30</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4.0 </w:t>
      </w:r>
      <w:r w:rsidRPr="009A1213">
        <w:rPr>
          <w:rFonts w:cs="Arial"/>
        </w:rPr>
        <w:tab/>
        <w:t>Medical Record Review Processes</w:t>
      </w:r>
      <w:r w:rsidRPr="009A1213">
        <w:rPr>
          <w:rFonts w:cs="Arial"/>
        </w:rPr>
        <w:tab/>
        <w:t>32</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5.0 </w:t>
      </w:r>
      <w:r w:rsidRPr="009A1213">
        <w:rPr>
          <w:rFonts w:cs="Arial"/>
        </w:rPr>
        <w:tab/>
        <w:t>Supplemental Data</w:t>
      </w:r>
      <w:r w:rsidRPr="009A1213">
        <w:rPr>
          <w:rFonts w:cs="Arial"/>
        </w:rPr>
        <w:tab/>
        <w:t>34</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6.0 </w:t>
      </w:r>
      <w:r w:rsidRPr="009A1213">
        <w:rPr>
          <w:rFonts w:cs="Arial"/>
        </w:rPr>
        <w:tab/>
        <w:t>Member Call Center</w:t>
      </w:r>
      <w:r w:rsidRPr="009A1213">
        <w:rPr>
          <w:rFonts w:cs="Arial"/>
        </w:rPr>
        <w:tab/>
        <w:t>36</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7.0 </w:t>
      </w:r>
      <w:r w:rsidRPr="009A1213">
        <w:rPr>
          <w:rFonts w:cs="Arial"/>
        </w:rPr>
        <w:tab/>
        <w:t>Data Integration</w:t>
      </w:r>
      <w:r w:rsidRPr="009A1213">
        <w:rPr>
          <w:rFonts w:cs="Arial"/>
        </w:rPr>
        <w:tab/>
        <w:t>37</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8.0 </w:t>
      </w:r>
      <w:r w:rsidRPr="009A1213">
        <w:rPr>
          <w:rFonts w:cs="Arial"/>
        </w:rPr>
        <w:tab/>
        <w:t>Wellness and Health Promotion Data—</w:t>
      </w:r>
      <w:r w:rsidRPr="009A1213">
        <w:rPr>
          <w:rFonts w:cs="Arial"/>
          <w:i/>
        </w:rPr>
        <w:t>WHP Audits</w:t>
      </w:r>
      <w:r w:rsidRPr="009A1213">
        <w:rPr>
          <w:rFonts w:cs="Arial"/>
        </w:rPr>
        <w:tab/>
        <w:t>39</w:t>
      </w:r>
    </w:p>
    <w:p w:rsidR="009A1213" w:rsidRPr="009A1213" w:rsidRDefault="009A1213" w:rsidP="009A1213">
      <w:pPr>
        <w:tabs>
          <w:tab w:val="left" w:pos="1080"/>
          <w:tab w:val="left" w:pos="1800"/>
          <w:tab w:val="right" w:leader="dot" w:pos="9720"/>
        </w:tabs>
        <w:ind w:left="1350" w:hanging="630"/>
        <w:rPr>
          <w:rFonts w:cs="Arial"/>
        </w:rPr>
      </w:pPr>
      <w:r w:rsidRPr="009A1213">
        <w:rPr>
          <w:rFonts w:cs="Arial"/>
        </w:rPr>
        <w:t xml:space="preserve">IS 9.0 </w:t>
      </w:r>
      <w:r w:rsidRPr="009A1213">
        <w:rPr>
          <w:rFonts w:cs="Arial"/>
        </w:rPr>
        <w:tab/>
        <w:t>Disease Management Data—</w:t>
      </w:r>
      <w:r w:rsidRPr="009A1213">
        <w:rPr>
          <w:rFonts w:cs="Arial"/>
          <w:i/>
        </w:rPr>
        <w:t>DM Audits</w:t>
      </w:r>
      <w:r w:rsidRPr="009A1213">
        <w:rPr>
          <w:rFonts w:cs="Arial"/>
        </w:rPr>
        <w:tab/>
        <w:t>41</w:t>
      </w:r>
    </w:p>
    <w:p w:rsidR="009A1213" w:rsidRPr="009A1213" w:rsidRDefault="009A1213" w:rsidP="009A1213"/>
    <w:p w:rsidR="009A1213" w:rsidRPr="009A1213" w:rsidRDefault="009A1213" w:rsidP="009A1213">
      <w:pPr>
        <w:tabs>
          <w:tab w:val="left" w:pos="1080"/>
          <w:tab w:val="right" w:leader="dot" w:pos="9720"/>
        </w:tabs>
        <w:ind w:left="360" w:firstLine="180"/>
        <w:rPr>
          <w:rFonts w:cs="Arial"/>
        </w:rPr>
      </w:pPr>
      <w:r w:rsidRPr="009A1213">
        <w:rPr>
          <w:rFonts w:cs="Arial"/>
        </w:rPr>
        <w:t>HEDIS Determination Standards</w:t>
      </w:r>
      <w:r w:rsidRPr="009A1213">
        <w:rPr>
          <w:rFonts w:cs="Arial"/>
        </w:rPr>
        <w:tab/>
        <w:t>43</w:t>
      </w:r>
    </w:p>
    <w:p w:rsidR="009A1213" w:rsidRPr="009A1213" w:rsidRDefault="009A1213" w:rsidP="009A1213">
      <w:pPr>
        <w:tabs>
          <w:tab w:val="left" w:pos="1080"/>
          <w:tab w:val="left" w:pos="1800"/>
          <w:tab w:val="right" w:leader="dot" w:pos="9720"/>
        </w:tabs>
        <w:ind w:left="1440" w:hanging="720"/>
        <w:rPr>
          <w:rFonts w:cs="Arial"/>
        </w:rPr>
      </w:pPr>
      <w:r w:rsidRPr="009A1213">
        <w:rPr>
          <w:rFonts w:cs="Arial"/>
        </w:rPr>
        <w:t xml:space="preserve">HD 1.0 </w:t>
      </w:r>
      <w:r w:rsidRPr="009A1213">
        <w:rPr>
          <w:rFonts w:cs="Arial"/>
        </w:rPr>
        <w:tab/>
        <w:t>Denominator Identification</w:t>
      </w:r>
      <w:r w:rsidRPr="009A1213">
        <w:rPr>
          <w:rFonts w:cs="Arial"/>
        </w:rPr>
        <w:tab/>
        <w:t>43</w:t>
      </w:r>
    </w:p>
    <w:p w:rsidR="009A1213" w:rsidRPr="009A1213" w:rsidRDefault="009A1213" w:rsidP="009A1213">
      <w:pPr>
        <w:tabs>
          <w:tab w:val="left" w:pos="1080"/>
          <w:tab w:val="left" w:pos="1800"/>
          <w:tab w:val="right" w:leader="dot" w:pos="9720"/>
        </w:tabs>
        <w:ind w:left="1440" w:hanging="720"/>
        <w:rPr>
          <w:rFonts w:cs="Arial"/>
        </w:rPr>
      </w:pPr>
      <w:r w:rsidRPr="009A1213">
        <w:rPr>
          <w:rFonts w:cs="Arial"/>
        </w:rPr>
        <w:t xml:space="preserve">HD 2.0 </w:t>
      </w:r>
      <w:r w:rsidRPr="009A1213">
        <w:rPr>
          <w:rFonts w:cs="Arial"/>
        </w:rPr>
        <w:tab/>
        <w:t>Sampling</w:t>
      </w:r>
      <w:r w:rsidRPr="009A1213">
        <w:rPr>
          <w:rFonts w:cs="Arial"/>
        </w:rPr>
        <w:tab/>
        <w:t>45</w:t>
      </w:r>
    </w:p>
    <w:p w:rsidR="009A1213" w:rsidRPr="009A1213" w:rsidRDefault="009A1213" w:rsidP="009A1213">
      <w:pPr>
        <w:tabs>
          <w:tab w:val="left" w:pos="1080"/>
          <w:tab w:val="left" w:pos="1800"/>
          <w:tab w:val="right" w:leader="dot" w:pos="9720"/>
        </w:tabs>
        <w:ind w:left="1440" w:hanging="720"/>
        <w:rPr>
          <w:rFonts w:cs="Arial"/>
        </w:rPr>
      </w:pPr>
      <w:r w:rsidRPr="009A1213">
        <w:rPr>
          <w:rFonts w:cs="Arial"/>
        </w:rPr>
        <w:t xml:space="preserve">HD 3.0 </w:t>
      </w:r>
      <w:r w:rsidRPr="009A1213">
        <w:rPr>
          <w:rFonts w:cs="Arial"/>
        </w:rPr>
        <w:tab/>
        <w:t>Numerator Identification</w:t>
      </w:r>
      <w:r w:rsidRPr="009A1213">
        <w:rPr>
          <w:rFonts w:cs="Arial"/>
        </w:rPr>
        <w:tab/>
        <w:t>46</w:t>
      </w:r>
    </w:p>
    <w:p w:rsidR="009A1213" w:rsidRPr="009A1213" w:rsidRDefault="009A1213" w:rsidP="009A1213">
      <w:pPr>
        <w:tabs>
          <w:tab w:val="left" w:pos="1080"/>
          <w:tab w:val="left" w:pos="1800"/>
          <w:tab w:val="right" w:leader="dot" w:pos="9720"/>
        </w:tabs>
        <w:ind w:left="1440" w:hanging="720"/>
        <w:rPr>
          <w:rFonts w:cs="Arial"/>
        </w:rPr>
      </w:pPr>
      <w:r w:rsidRPr="009A1213">
        <w:rPr>
          <w:rFonts w:cs="Arial"/>
        </w:rPr>
        <w:t xml:space="preserve">HD 4.0 </w:t>
      </w:r>
      <w:r w:rsidRPr="009A1213">
        <w:rPr>
          <w:rFonts w:cs="Arial"/>
        </w:rPr>
        <w:tab/>
        <w:t>Algorithmic Compliance</w:t>
      </w:r>
      <w:r w:rsidRPr="009A1213">
        <w:rPr>
          <w:rFonts w:cs="Arial"/>
        </w:rPr>
        <w:tab/>
        <w:t>47</w:t>
      </w:r>
    </w:p>
    <w:p w:rsidR="009A1213" w:rsidRPr="009A1213" w:rsidRDefault="009A1213" w:rsidP="009A1213">
      <w:pPr>
        <w:tabs>
          <w:tab w:val="left" w:pos="1080"/>
          <w:tab w:val="left" w:pos="1800"/>
          <w:tab w:val="right" w:leader="dot" w:pos="9720"/>
        </w:tabs>
        <w:ind w:left="1440" w:hanging="720"/>
        <w:rPr>
          <w:rFonts w:cs="Arial"/>
        </w:rPr>
      </w:pPr>
      <w:r w:rsidRPr="009A1213">
        <w:rPr>
          <w:rFonts w:cs="Arial"/>
        </w:rPr>
        <w:t xml:space="preserve">HD 5.0 </w:t>
      </w:r>
      <w:r w:rsidRPr="009A1213">
        <w:rPr>
          <w:rFonts w:cs="Arial"/>
        </w:rPr>
        <w:tab/>
        <w:t>Outsourced or Delegated Reporting Functions</w:t>
      </w:r>
      <w:r w:rsidRPr="009A1213">
        <w:rPr>
          <w:rFonts w:cs="Arial"/>
        </w:rPr>
        <w:tab/>
        <w:t>48</w:t>
      </w:r>
    </w:p>
    <w:p w:rsidR="009A1213" w:rsidRPr="009A1213" w:rsidRDefault="009A1213" w:rsidP="009A1213">
      <w:pPr>
        <w:tabs>
          <w:tab w:val="left" w:pos="1440"/>
          <w:tab w:val="right" w:leader="dot" w:pos="9720"/>
        </w:tabs>
        <w:ind w:left="1440" w:hanging="720"/>
      </w:pPr>
    </w:p>
    <w:p w:rsidR="009A1213" w:rsidRPr="009A1213" w:rsidRDefault="009A1213" w:rsidP="009A1213">
      <w:pPr>
        <w:tabs>
          <w:tab w:val="left" w:pos="1440"/>
          <w:tab w:val="right" w:leader="dot" w:pos="9720"/>
        </w:tabs>
        <w:ind w:left="1440" w:hanging="720"/>
        <w:sectPr w:rsidR="009A1213" w:rsidRPr="009A1213" w:rsidSect="00550D6B">
          <w:headerReference w:type="default" r:id="rId25"/>
          <w:footnotePr>
            <w:numStart w:val="2"/>
          </w:footnotePr>
          <w:pgSz w:w="12240" w:h="15840" w:code="1"/>
          <w:pgMar w:top="1080" w:right="1080" w:bottom="1080" w:left="1440" w:header="720" w:footer="720" w:gutter="0"/>
          <w:cols w:space="720"/>
        </w:sectPr>
      </w:pPr>
    </w:p>
    <w:p w:rsidR="009A1213" w:rsidRPr="009A1213" w:rsidRDefault="009A1213" w:rsidP="004417CA">
      <w:pPr>
        <w:tabs>
          <w:tab w:val="left" w:pos="1620"/>
          <w:tab w:val="right" w:leader="dot" w:pos="9720"/>
        </w:tabs>
        <w:rPr>
          <w:rFonts w:cs="Arial"/>
          <w:b/>
          <w:noProof/>
          <w:sz w:val="22"/>
        </w:rPr>
      </w:pPr>
      <w:r w:rsidRPr="009A1213">
        <w:rPr>
          <w:rFonts w:cs="Arial"/>
          <w:b/>
          <w:noProof/>
          <w:sz w:val="22"/>
        </w:rPr>
        <w:lastRenderedPageBreak/>
        <w:t>Audit Process: Offsite Methods</w:t>
      </w:r>
    </w:p>
    <w:p w:rsidR="009A1213" w:rsidRPr="009A1213" w:rsidRDefault="009A1213" w:rsidP="009A1213">
      <w:pPr>
        <w:tabs>
          <w:tab w:val="left" w:pos="1080"/>
          <w:tab w:val="right" w:leader="dot" w:pos="9720"/>
        </w:tabs>
        <w:ind w:left="360"/>
        <w:rPr>
          <w:rFonts w:cs="Arial"/>
        </w:rPr>
      </w:pPr>
      <w:r w:rsidRPr="009A1213">
        <w:rPr>
          <w:rFonts w:cs="Arial"/>
        </w:rPr>
        <w:t>The Offsite Audit Process</w:t>
      </w:r>
      <w:r w:rsidRPr="009A1213">
        <w:rPr>
          <w:rFonts w:cs="Arial"/>
        </w:rPr>
        <w:tab/>
        <w:t>51</w:t>
      </w:r>
    </w:p>
    <w:p w:rsidR="009A1213" w:rsidRPr="009A1213" w:rsidRDefault="009A1213" w:rsidP="009A1213">
      <w:pPr>
        <w:tabs>
          <w:tab w:val="right" w:leader="dot" w:pos="9720"/>
        </w:tabs>
        <w:ind w:left="360" w:firstLine="180"/>
        <w:rPr>
          <w:rFonts w:cs="Arial"/>
        </w:rPr>
      </w:pPr>
      <w:r w:rsidRPr="009A1213">
        <w:rPr>
          <w:rFonts w:cs="Arial"/>
        </w:rPr>
        <w:t>Contract Execution</w:t>
      </w:r>
      <w:r w:rsidRPr="009A1213">
        <w:rPr>
          <w:rFonts w:cs="Arial"/>
        </w:rPr>
        <w:tab/>
        <w:t>51</w:t>
      </w:r>
    </w:p>
    <w:p w:rsidR="009A1213" w:rsidRPr="009A1213" w:rsidRDefault="009A1213" w:rsidP="009A1213">
      <w:pPr>
        <w:tabs>
          <w:tab w:val="right" w:leader="dot" w:pos="9720"/>
        </w:tabs>
        <w:ind w:left="360" w:firstLine="180"/>
        <w:rPr>
          <w:rFonts w:cs="Arial"/>
        </w:rPr>
      </w:pPr>
      <w:r w:rsidRPr="009A1213">
        <w:rPr>
          <w:rFonts w:cs="Arial"/>
        </w:rPr>
        <w:t>Roadmap Assessment</w:t>
      </w:r>
      <w:r w:rsidRPr="009A1213">
        <w:rPr>
          <w:rFonts w:cs="Arial"/>
        </w:rPr>
        <w:tab/>
        <w:t>52</w:t>
      </w:r>
    </w:p>
    <w:p w:rsidR="009A1213" w:rsidRPr="009A1213" w:rsidRDefault="009A1213" w:rsidP="009A1213">
      <w:pPr>
        <w:tabs>
          <w:tab w:val="right" w:leader="dot" w:pos="9720"/>
        </w:tabs>
        <w:ind w:left="360" w:firstLine="180"/>
        <w:rPr>
          <w:rFonts w:cs="Arial"/>
        </w:rPr>
      </w:pPr>
      <w:r w:rsidRPr="009A1213">
        <w:rPr>
          <w:rFonts w:cs="Arial"/>
        </w:rPr>
        <w:t>Validation of Sample Frames for Survey Measures</w:t>
      </w:r>
      <w:r w:rsidRPr="009A1213">
        <w:rPr>
          <w:rFonts w:cs="Arial"/>
        </w:rPr>
        <w:tab/>
        <w:t>53</w:t>
      </w:r>
    </w:p>
    <w:p w:rsidR="009A1213" w:rsidRPr="009A1213" w:rsidRDefault="009A1213" w:rsidP="009A1213">
      <w:pPr>
        <w:tabs>
          <w:tab w:val="right" w:leader="dot" w:pos="9720"/>
        </w:tabs>
        <w:ind w:left="360" w:firstLine="360"/>
        <w:rPr>
          <w:rFonts w:cs="Arial"/>
        </w:rPr>
      </w:pPr>
      <w:r w:rsidRPr="009A1213">
        <w:rPr>
          <w:rFonts w:cs="Arial"/>
        </w:rPr>
        <w:t>Auditor Validation Process</w:t>
      </w:r>
      <w:r w:rsidRPr="009A1213">
        <w:rPr>
          <w:rFonts w:cs="Arial"/>
        </w:rPr>
        <w:tab/>
        <w:t>53</w:t>
      </w:r>
    </w:p>
    <w:p w:rsidR="009A1213" w:rsidRPr="009A1213" w:rsidRDefault="009A1213" w:rsidP="009A1213">
      <w:pPr>
        <w:tabs>
          <w:tab w:val="right" w:leader="dot" w:pos="9720"/>
        </w:tabs>
        <w:ind w:left="360" w:firstLine="180"/>
        <w:rPr>
          <w:rFonts w:cs="Arial"/>
        </w:rPr>
      </w:pPr>
      <w:r w:rsidRPr="009A1213">
        <w:rPr>
          <w:rFonts w:cs="Arial"/>
        </w:rPr>
        <w:t>Core Set Measure Selection for Source Code Review</w:t>
      </w:r>
      <w:r w:rsidRPr="009A1213">
        <w:rPr>
          <w:rFonts w:cs="Arial"/>
        </w:rPr>
        <w:tab/>
        <w:t>55</w:t>
      </w:r>
    </w:p>
    <w:p w:rsidR="009A1213" w:rsidRPr="009A1213" w:rsidRDefault="009A1213" w:rsidP="009A1213">
      <w:pPr>
        <w:tabs>
          <w:tab w:val="right" w:leader="dot" w:pos="9720"/>
        </w:tabs>
        <w:ind w:left="360" w:firstLine="180"/>
        <w:rPr>
          <w:rFonts w:cs="Arial"/>
        </w:rPr>
      </w:pPr>
      <w:r w:rsidRPr="009A1213">
        <w:rPr>
          <w:rFonts w:cs="Arial"/>
        </w:rPr>
        <w:t>Rationales for Core Set Selection</w:t>
      </w:r>
      <w:r w:rsidRPr="009A1213">
        <w:rPr>
          <w:rFonts w:cs="Arial"/>
        </w:rPr>
        <w:tab/>
        <w:t>55</w:t>
      </w:r>
    </w:p>
    <w:p w:rsidR="009A1213" w:rsidRPr="009A1213" w:rsidRDefault="009A1213" w:rsidP="009A1213">
      <w:pPr>
        <w:tabs>
          <w:tab w:val="right" w:leader="dot" w:pos="9720"/>
        </w:tabs>
        <w:ind w:left="360" w:firstLine="180"/>
        <w:rPr>
          <w:rFonts w:cs="Arial"/>
        </w:rPr>
      </w:pPr>
      <w:r w:rsidRPr="009A1213">
        <w:rPr>
          <w:rFonts w:cs="Arial"/>
        </w:rPr>
        <w:t>Additional Core Set Considerations</w:t>
      </w:r>
      <w:r w:rsidRPr="009A1213">
        <w:rPr>
          <w:rFonts w:cs="Arial"/>
        </w:rPr>
        <w:tab/>
        <w:t>56</w:t>
      </w:r>
    </w:p>
    <w:p w:rsidR="009A1213" w:rsidRPr="009A1213" w:rsidRDefault="009A1213" w:rsidP="009A1213">
      <w:pPr>
        <w:tabs>
          <w:tab w:val="right" w:leader="dot" w:pos="9720"/>
        </w:tabs>
        <w:ind w:left="360" w:firstLine="180"/>
        <w:rPr>
          <w:rFonts w:cs="Arial"/>
        </w:rPr>
      </w:pPr>
      <w:r w:rsidRPr="009A1213">
        <w:rPr>
          <w:rFonts w:cs="Arial"/>
        </w:rPr>
        <w:t>Manual Source Code Review</w:t>
      </w:r>
      <w:r w:rsidRPr="009A1213">
        <w:rPr>
          <w:rFonts w:cs="Arial"/>
        </w:rPr>
        <w:tab/>
        <w:t>57</w:t>
      </w:r>
    </w:p>
    <w:p w:rsidR="009A1213" w:rsidRPr="009A1213" w:rsidRDefault="009A1213" w:rsidP="009A1213">
      <w:pPr>
        <w:tabs>
          <w:tab w:val="right" w:leader="dot" w:pos="9720"/>
        </w:tabs>
        <w:ind w:left="360" w:firstLine="180"/>
        <w:rPr>
          <w:rFonts w:cs="Arial"/>
        </w:rPr>
      </w:pPr>
      <w:r w:rsidRPr="009A1213">
        <w:rPr>
          <w:rFonts w:cs="Arial"/>
        </w:rPr>
        <w:t>Preliminary Rate Review</w:t>
      </w:r>
      <w:r w:rsidRPr="009A1213">
        <w:rPr>
          <w:rFonts w:cs="Arial"/>
        </w:rPr>
        <w:tab/>
        <w:t>59</w:t>
      </w:r>
    </w:p>
    <w:p w:rsidR="009A1213" w:rsidRPr="009A1213" w:rsidRDefault="009A1213" w:rsidP="009A1213">
      <w:pPr>
        <w:tabs>
          <w:tab w:val="right" w:leader="dot" w:pos="9720"/>
        </w:tabs>
        <w:ind w:left="360" w:firstLine="180"/>
        <w:rPr>
          <w:rFonts w:cs="Arial"/>
        </w:rPr>
      </w:pPr>
      <w:r w:rsidRPr="009A1213">
        <w:rPr>
          <w:rFonts w:cs="Arial"/>
        </w:rPr>
        <w:t>Medical Record Review Validation</w:t>
      </w:r>
      <w:r w:rsidRPr="009A1213">
        <w:rPr>
          <w:rFonts w:cs="Arial"/>
        </w:rPr>
        <w:tab/>
        <w:t>59</w:t>
      </w:r>
    </w:p>
    <w:p w:rsidR="009A1213" w:rsidRPr="009A1213" w:rsidRDefault="009A1213" w:rsidP="009A1213">
      <w:pPr>
        <w:tabs>
          <w:tab w:val="right" w:leader="dot" w:pos="9720"/>
        </w:tabs>
        <w:ind w:left="360" w:firstLine="180"/>
        <w:rPr>
          <w:rFonts w:cs="Arial"/>
        </w:rPr>
      </w:pPr>
      <w:r w:rsidRPr="009A1213">
        <w:rPr>
          <w:rFonts w:cs="Arial"/>
        </w:rPr>
        <w:t>Measures With Special Considerations</w:t>
      </w:r>
      <w:r w:rsidRPr="009A1213">
        <w:rPr>
          <w:rFonts w:cs="Arial"/>
        </w:rPr>
        <w:tab/>
        <w:t>65</w:t>
      </w:r>
    </w:p>
    <w:p w:rsidR="009A1213" w:rsidRPr="009A1213" w:rsidRDefault="009A1213" w:rsidP="009A1213">
      <w:pPr>
        <w:tabs>
          <w:tab w:val="right" w:leader="dot" w:pos="9720"/>
        </w:tabs>
        <w:ind w:left="360" w:firstLine="180"/>
        <w:rPr>
          <w:rFonts w:cs="Arial"/>
        </w:rPr>
      </w:pPr>
      <w:r w:rsidRPr="009A1213">
        <w:rPr>
          <w:rFonts w:cs="Arial"/>
        </w:rPr>
        <w:t>Supplemental Data Validation</w:t>
      </w:r>
      <w:r w:rsidRPr="009A1213">
        <w:rPr>
          <w:rFonts w:cs="Arial"/>
        </w:rPr>
        <w:tab/>
        <w:t>65</w:t>
      </w:r>
    </w:p>
    <w:p w:rsidR="009A1213" w:rsidRPr="009A1213" w:rsidRDefault="009A1213" w:rsidP="009A1213">
      <w:pPr>
        <w:tabs>
          <w:tab w:val="right" w:leader="dot" w:pos="9720"/>
        </w:tabs>
        <w:ind w:left="360" w:firstLine="180"/>
        <w:rPr>
          <w:rFonts w:cs="Arial"/>
        </w:rPr>
      </w:pPr>
      <w:r w:rsidRPr="009A1213">
        <w:rPr>
          <w:rFonts w:cs="Arial"/>
        </w:rPr>
        <w:t>Planning the Onsite Visit</w:t>
      </w:r>
      <w:r w:rsidRPr="009A1213">
        <w:rPr>
          <w:rFonts w:cs="Arial"/>
        </w:rPr>
        <w:tab/>
        <w:t>67</w:t>
      </w:r>
    </w:p>
    <w:p w:rsidR="009A1213" w:rsidRPr="009A1213" w:rsidRDefault="009A1213" w:rsidP="004417CA">
      <w:pPr>
        <w:tabs>
          <w:tab w:val="left" w:pos="1620"/>
          <w:tab w:val="right" w:leader="dot" w:pos="9720"/>
        </w:tabs>
        <w:spacing w:before="180"/>
        <w:rPr>
          <w:rFonts w:cs="Arial"/>
          <w:b/>
          <w:noProof/>
          <w:sz w:val="22"/>
        </w:rPr>
      </w:pPr>
      <w:r w:rsidRPr="009A1213">
        <w:rPr>
          <w:rFonts w:cs="Arial"/>
          <w:b/>
          <w:noProof/>
          <w:sz w:val="22"/>
        </w:rPr>
        <w:t>Audit Process: Onsite Methods</w:t>
      </w:r>
    </w:p>
    <w:p w:rsidR="009A1213" w:rsidRPr="009A1213" w:rsidRDefault="009A1213" w:rsidP="009A1213">
      <w:pPr>
        <w:tabs>
          <w:tab w:val="left" w:pos="1080"/>
          <w:tab w:val="right" w:leader="dot" w:pos="9720"/>
        </w:tabs>
        <w:ind w:left="360"/>
        <w:rPr>
          <w:rFonts w:cs="Arial"/>
        </w:rPr>
      </w:pPr>
      <w:r w:rsidRPr="009A1213">
        <w:rPr>
          <w:rFonts w:cs="Arial"/>
        </w:rPr>
        <w:t>The Onsite Audit Process</w:t>
      </w:r>
      <w:r w:rsidRPr="009A1213">
        <w:rPr>
          <w:rFonts w:cs="Arial"/>
        </w:rPr>
        <w:tab/>
        <w:t>73</w:t>
      </w:r>
    </w:p>
    <w:p w:rsidR="009A1213" w:rsidRPr="009A1213" w:rsidRDefault="009A1213" w:rsidP="009A1213">
      <w:pPr>
        <w:tabs>
          <w:tab w:val="left" w:pos="1080"/>
          <w:tab w:val="right" w:leader="dot" w:pos="9720"/>
        </w:tabs>
        <w:ind w:left="360" w:firstLine="180"/>
        <w:rPr>
          <w:rFonts w:cs="Arial"/>
        </w:rPr>
      </w:pPr>
      <w:r w:rsidRPr="009A1213">
        <w:rPr>
          <w:rFonts w:cs="Arial"/>
        </w:rPr>
        <w:t>Onsite Audit Methods</w:t>
      </w:r>
      <w:r w:rsidRPr="009A1213">
        <w:rPr>
          <w:rFonts w:cs="Arial"/>
        </w:rPr>
        <w:tab/>
        <w:t>73</w:t>
      </w:r>
    </w:p>
    <w:p w:rsidR="009A1213" w:rsidRPr="009A1213" w:rsidRDefault="009A1213" w:rsidP="009A1213">
      <w:pPr>
        <w:tabs>
          <w:tab w:val="left" w:pos="1080"/>
          <w:tab w:val="right" w:leader="dot" w:pos="9720"/>
        </w:tabs>
        <w:ind w:left="360" w:firstLine="180"/>
        <w:rPr>
          <w:rFonts w:cs="Arial"/>
        </w:rPr>
      </w:pPr>
      <w:r w:rsidRPr="009A1213">
        <w:rPr>
          <w:rFonts w:cs="Arial"/>
        </w:rPr>
        <w:t>Data Completeness Findings and Impact Determination</w:t>
      </w:r>
      <w:r w:rsidRPr="009A1213">
        <w:rPr>
          <w:rFonts w:cs="Arial"/>
        </w:rPr>
        <w:tab/>
        <w:t>78</w:t>
      </w:r>
    </w:p>
    <w:p w:rsidR="009A1213" w:rsidRPr="009A1213" w:rsidRDefault="009A1213" w:rsidP="009A1213">
      <w:pPr>
        <w:tabs>
          <w:tab w:val="left" w:pos="1080"/>
          <w:tab w:val="right" w:leader="dot" w:pos="9720"/>
        </w:tabs>
        <w:ind w:left="360" w:firstLine="180"/>
        <w:rPr>
          <w:rFonts w:cs="Arial"/>
        </w:rPr>
      </w:pPr>
      <w:r w:rsidRPr="009A1213">
        <w:rPr>
          <w:rFonts w:cs="Arial"/>
        </w:rPr>
        <w:t>Closing Conference and Follow-Up Documentation</w:t>
      </w:r>
      <w:r w:rsidRPr="009A1213">
        <w:rPr>
          <w:rFonts w:cs="Arial"/>
        </w:rPr>
        <w:tab/>
        <w:t>79</w:t>
      </w:r>
    </w:p>
    <w:p w:rsidR="009A1213" w:rsidRPr="009A1213" w:rsidRDefault="009A1213" w:rsidP="004417CA">
      <w:pPr>
        <w:tabs>
          <w:tab w:val="left" w:pos="1620"/>
          <w:tab w:val="right" w:leader="dot" w:pos="9720"/>
        </w:tabs>
        <w:spacing w:before="180"/>
        <w:rPr>
          <w:rFonts w:cs="Arial"/>
          <w:b/>
          <w:noProof/>
          <w:sz w:val="22"/>
        </w:rPr>
      </w:pPr>
      <w:r w:rsidRPr="009A1213">
        <w:rPr>
          <w:rFonts w:cs="Arial"/>
          <w:b/>
          <w:noProof/>
          <w:sz w:val="22"/>
        </w:rPr>
        <w:t>Audit Process: Post-Onsite and Reporting</w:t>
      </w:r>
    </w:p>
    <w:p w:rsidR="009A1213" w:rsidRPr="009A1213" w:rsidRDefault="009A1213" w:rsidP="009A1213">
      <w:pPr>
        <w:tabs>
          <w:tab w:val="left" w:pos="1080"/>
          <w:tab w:val="right" w:leader="dot" w:pos="9720"/>
        </w:tabs>
        <w:ind w:left="360"/>
        <w:rPr>
          <w:rFonts w:cs="Arial"/>
        </w:rPr>
      </w:pPr>
      <w:r w:rsidRPr="009A1213">
        <w:rPr>
          <w:rFonts w:cs="Arial"/>
        </w:rPr>
        <w:t>The Post-Onsite and Reporting Process</w:t>
      </w:r>
      <w:r w:rsidRPr="009A1213">
        <w:rPr>
          <w:rFonts w:cs="Arial"/>
        </w:rPr>
        <w:tab/>
        <w:t>83</w:t>
      </w:r>
    </w:p>
    <w:p w:rsidR="009A1213" w:rsidRPr="009A1213" w:rsidRDefault="009A1213" w:rsidP="009A1213">
      <w:pPr>
        <w:tabs>
          <w:tab w:val="left" w:pos="1080"/>
          <w:tab w:val="right" w:leader="dot" w:pos="9720"/>
        </w:tabs>
        <w:ind w:left="360" w:firstLine="180"/>
        <w:rPr>
          <w:rFonts w:cs="Arial"/>
        </w:rPr>
      </w:pPr>
      <w:r w:rsidRPr="009A1213">
        <w:rPr>
          <w:rFonts w:cs="Arial"/>
        </w:rPr>
        <w:t>Corrective Actions and Reassessment</w:t>
      </w:r>
      <w:r w:rsidRPr="009A1213">
        <w:rPr>
          <w:rFonts w:cs="Arial"/>
        </w:rPr>
        <w:tab/>
        <w:t>83</w:t>
      </w:r>
    </w:p>
    <w:p w:rsidR="009A1213" w:rsidRPr="009A1213" w:rsidRDefault="009A1213" w:rsidP="009A1213">
      <w:pPr>
        <w:tabs>
          <w:tab w:val="left" w:pos="1080"/>
          <w:tab w:val="right" w:leader="dot" w:pos="9720"/>
        </w:tabs>
        <w:ind w:left="360" w:firstLine="180"/>
        <w:rPr>
          <w:rFonts w:cs="Arial"/>
        </w:rPr>
      </w:pPr>
      <w:r w:rsidRPr="009A1213">
        <w:rPr>
          <w:rFonts w:cs="Arial"/>
        </w:rPr>
        <w:t>Audit Results</w:t>
      </w:r>
      <w:r w:rsidRPr="009A1213">
        <w:rPr>
          <w:rFonts w:cs="Arial"/>
        </w:rPr>
        <w:tab/>
        <w:t>84</w:t>
      </w:r>
    </w:p>
    <w:p w:rsidR="009A1213" w:rsidRPr="009A1213" w:rsidRDefault="009A1213" w:rsidP="009A1213">
      <w:pPr>
        <w:tabs>
          <w:tab w:val="left" w:pos="1080"/>
          <w:tab w:val="right" w:leader="dot" w:pos="9720"/>
        </w:tabs>
        <w:ind w:left="360" w:firstLine="180"/>
        <w:rPr>
          <w:rFonts w:cs="Arial"/>
        </w:rPr>
      </w:pPr>
      <w:r w:rsidRPr="009A1213">
        <w:rPr>
          <w:rFonts w:cs="Arial"/>
        </w:rPr>
        <w:t>Public Reporting, Benchmarks and Accreditation</w:t>
      </w:r>
      <w:r w:rsidRPr="009A1213">
        <w:rPr>
          <w:rFonts w:cs="Arial"/>
        </w:rPr>
        <w:tab/>
        <w:t>85</w:t>
      </w:r>
    </w:p>
    <w:p w:rsidR="009A1213" w:rsidRPr="009A1213" w:rsidRDefault="009A1213" w:rsidP="009A1213">
      <w:pPr>
        <w:tabs>
          <w:tab w:val="left" w:pos="1080"/>
          <w:tab w:val="right" w:leader="dot" w:pos="9720"/>
        </w:tabs>
        <w:ind w:left="360" w:firstLine="180"/>
        <w:rPr>
          <w:rFonts w:cs="Arial"/>
        </w:rPr>
      </w:pPr>
      <w:r w:rsidRPr="009A1213">
        <w:rPr>
          <w:rFonts w:cs="Arial"/>
        </w:rPr>
        <w:t xml:space="preserve">Final Audit Opinion and Statement </w:t>
      </w:r>
      <w:r w:rsidRPr="009A1213">
        <w:rPr>
          <w:rFonts w:cs="Arial"/>
          <w:i/>
        </w:rPr>
        <w:t>for HEDIS</w:t>
      </w:r>
      <w:r w:rsidRPr="009A1213">
        <w:rPr>
          <w:rFonts w:cs="Arial"/>
        </w:rPr>
        <w:tab/>
        <w:t>86</w:t>
      </w:r>
    </w:p>
    <w:p w:rsidR="009A1213" w:rsidRPr="009A1213" w:rsidRDefault="009A1213" w:rsidP="009A1213">
      <w:pPr>
        <w:tabs>
          <w:tab w:val="left" w:pos="1080"/>
          <w:tab w:val="right" w:leader="dot" w:pos="9720"/>
        </w:tabs>
        <w:ind w:left="360" w:firstLine="180"/>
        <w:rPr>
          <w:rFonts w:cs="Arial"/>
        </w:rPr>
      </w:pPr>
      <w:r w:rsidRPr="009A1213">
        <w:rPr>
          <w:rFonts w:cs="Arial"/>
        </w:rPr>
        <w:t xml:space="preserve">Final Audit Opinion and Statement </w:t>
      </w:r>
      <w:r w:rsidRPr="009A1213">
        <w:rPr>
          <w:rFonts w:cs="Arial"/>
          <w:i/>
        </w:rPr>
        <w:t>for DM</w:t>
      </w:r>
      <w:r w:rsidRPr="009A1213">
        <w:rPr>
          <w:rFonts w:cs="Arial"/>
        </w:rPr>
        <w:tab/>
        <w:t>87</w:t>
      </w:r>
    </w:p>
    <w:p w:rsidR="009A1213" w:rsidRPr="009A1213" w:rsidRDefault="009A1213" w:rsidP="009A1213">
      <w:pPr>
        <w:tabs>
          <w:tab w:val="left" w:pos="1080"/>
          <w:tab w:val="right" w:leader="dot" w:pos="9720"/>
        </w:tabs>
        <w:ind w:left="360" w:firstLine="180"/>
        <w:rPr>
          <w:rFonts w:cs="Arial"/>
        </w:rPr>
      </w:pPr>
      <w:r w:rsidRPr="009A1213">
        <w:rPr>
          <w:rFonts w:cs="Arial"/>
        </w:rPr>
        <w:t xml:space="preserve">Final Audit Opinion and Statement </w:t>
      </w:r>
      <w:r w:rsidRPr="009A1213">
        <w:rPr>
          <w:rFonts w:cs="Arial"/>
          <w:i/>
        </w:rPr>
        <w:t>for WHP</w:t>
      </w:r>
      <w:r w:rsidRPr="009A1213">
        <w:rPr>
          <w:rFonts w:cs="Arial"/>
        </w:rPr>
        <w:tab/>
        <w:t>88</w:t>
      </w:r>
    </w:p>
    <w:p w:rsidR="009A1213" w:rsidRPr="009A1213" w:rsidRDefault="009A1213" w:rsidP="009A1213">
      <w:pPr>
        <w:tabs>
          <w:tab w:val="left" w:pos="1080"/>
          <w:tab w:val="right" w:leader="dot" w:pos="9720"/>
        </w:tabs>
        <w:ind w:left="360" w:firstLine="180"/>
        <w:rPr>
          <w:rFonts w:cs="Arial"/>
        </w:rPr>
      </w:pPr>
      <w:r w:rsidRPr="009A1213">
        <w:rPr>
          <w:rFonts w:cs="Arial"/>
        </w:rPr>
        <w:t xml:space="preserve">Final Audit Report </w:t>
      </w:r>
      <w:r w:rsidRPr="009A1213">
        <w:rPr>
          <w:rFonts w:cs="Arial"/>
          <w:i/>
        </w:rPr>
        <w:t>for HEDIS and DM</w:t>
      </w:r>
      <w:r w:rsidRPr="009A1213">
        <w:rPr>
          <w:rFonts w:cs="Arial"/>
        </w:rPr>
        <w:tab/>
        <w:t>89</w:t>
      </w:r>
    </w:p>
    <w:p w:rsidR="009A1213" w:rsidRPr="009A1213" w:rsidRDefault="009A1213" w:rsidP="009A1213">
      <w:pPr>
        <w:tabs>
          <w:tab w:val="left" w:pos="1080"/>
          <w:tab w:val="right" w:leader="dot" w:pos="9720"/>
        </w:tabs>
        <w:ind w:left="360" w:firstLine="180"/>
        <w:rPr>
          <w:rFonts w:cs="Arial"/>
        </w:rPr>
      </w:pPr>
      <w:r w:rsidRPr="009A1213">
        <w:rPr>
          <w:rFonts w:cs="Arial"/>
        </w:rPr>
        <w:t>Final Audit Report</w:t>
      </w:r>
      <w:r w:rsidRPr="009A1213">
        <w:rPr>
          <w:rFonts w:cs="Arial"/>
          <w:szCs w:val="20"/>
        </w:rPr>
        <w:t xml:space="preserve"> </w:t>
      </w:r>
      <w:r w:rsidRPr="009A1213">
        <w:rPr>
          <w:i/>
          <w:szCs w:val="20"/>
        </w:rPr>
        <w:t>for WHP</w:t>
      </w:r>
      <w:r w:rsidRPr="009A1213">
        <w:rPr>
          <w:rFonts w:cs="Arial"/>
        </w:rPr>
        <w:tab/>
        <w:t>90</w:t>
      </w:r>
    </w:p>
    <w:p w:rsidR="009A1213" w:rsidRPr="009A1213" w:rsidRDefault="009A1213" w:rsidP="009A1213">
      <w:pPr>
        <w:tabs>
          <w:tab w:val="left" w:pos="1080"/>
          <w:tab w:val="right" w:leader="dot" w:pos="9720"/>
        </w:tabs>
        <w:ind w:left="360" w:firstLine="180"/>
        <w:rPr>
          <w:rFonts w:cs="Arial"/>
        </w:rPr>
      </w:pPr>
      <w:r w:rsidRPr="009A1213">
        <w:rPr>
          <w:rFonts w:cs="Arial"/>
        </w:rPr>
        <w:t>Other Reporting Requirements</w:t>
      </w:r>
      <w:r w:rsidRPr="009A1213">
        <w:rPr>
          <w:rFonts w:cs="Arial"/>
        </w:rPr>
        <w:tab/>
        <w:t>91</w:t>
      </w:r>
    </w:p>
    <w:p w:rsidR="009A1213" w:rsidRPr="009A1213" w:rsidRDefault="009A1213" w:rsidP="009A1213">
      <w:pPr>
        <w:tabs>
          <w:tab w:val="left" w:pos="1080"/>
          <w:tab w:val="right" w:leader="dot" w:pos="9720"/>
        </w:tabs>
        <w:ind w:left="360" w:firstLine="180"/>
        <w:rPr>
          <w:rFonts w:cs="Arial"/>
        </w:rPr>
      </w:pPr>
      <w:r w:rsidRPr="009A1213">
        <w:rPr>
          <w:rFonts w:cs="Arial"/>
        </w:rPr>
        <w:t>Work Papers and Documentation</w:t>
      </w:r>
      <w:r w:rsidRPr="009A1213">
        <w:rPr>
          <w:rFonts w:cs="Arial"/>
        </w:rPr>
        <w:tab/>
        <w:t>92</w:t>
      </w:r>
    </w:p>
    <w:p w:rsidR="009A1213" w:rsidRPr="009A1213" w:rsidRDefault="009A1213" w:rsidP="009A1213">
      <w:pPr>
        <w:tabs>
          <w:tab w:val="left" w:pos="1080"/>
          <w:tab w:val="right" w:leader="dot" w:pos="9720"/>
        </w:tabs>
        <w:ind w:left="360" w:firstLine="360"/>
        <w:rPr>
          <w:rFonts w:cs="Arial"/>
        </w:rPr>
      </w:pPr>
      <w:r w:rsidRPr="009A1213">
        <w:rPr>
          <w:rFonts w:cs="Arial"/>
        </w:rPr>
        <w:t>Licensed Organization Information</w:t>
      </w:r>
      <w:r w:rsidRPr="009A1213">
        <w:rPr>
          <w:rFonts w:cs="Arial"/>
        </w:rPr>
        <w:tab/>
        <w:t>92</w:t>
      </w:r>
    </w:p>
    <w:p w:rsidR="009A1213" w:rsidRPr="009A1213" w:rsidRDefault="009A1213" w:rsidP="009A1213">
      <w:pPr>
        <w:tabs>
          <w:tab w:val="left" w:pos="1080"/>
          <w:tab w:val="right" w:leader="dot" w:pos="9720"/>
        </w:tabs>
        <w:ind w:left="360" w:firstLine="360"/>
        <w:rPr>
          <w:rFonts w:cs="Arial"/>
        </w:rPr>
      </w:pPr>
      <w:r w:rsidRPr="009A1213">
        <w:rPr>
          <w:rFonts w:cs="Arial"/>
        </w:rPr>
        <w:t>Organization-Specific Information</w:t>
      </w:r>
      <w:r w:rsidRPr="009A1213">
        <w:rPr>
          <w:rFonts w:cs="Arial"/>
        </w:rPr>
        <w:tab/>
        <w:t>92</w:t>
      </w:r>
    </w:p>
    <w:p w:rsidR="009A1213" w:rsidRPr="009A1213" w:rsidRDefault="009A1213" w:rsidP="009A1213">
      <w:pPr>
        <w:tabs>
          <w:tab w:val="left" w:pos="1080"/>
          <w:tab w:val="right" w:leader="dot" w:pos="9720"/>
        </w:tabs>
        <w:ind w:left="360" w:firstLine="360"/>
        <w:rPr>
          <w:rFonts w:cs="Arial"/>
        </w:rPr>
      </w:pPr>
      <w:r w:rsidRPr="009A1213">
        <w:rPr>
          <w:rFonts w:cs="Arial"/>
        </w:rPr>
        <w:t>Offsite Activity Files</w:t>
      </w:r>
      <w:r w:rsidRPr="009A1213">
        <w:rPr>
          <w:rFonts w:cs="Arial"/>
        </w:rPr>
        <w:tab/>
        <w:t>93</w:t>
      </w:r>
    </w:p>
    <w:p w:rsidR="009A1213" w:rsidRPr="009A1213" w:rsidRDefault="009A1213" w:rsidP="009A1213">
      <w:pPr>
        <w:tabs>
          <w:tab w:val="left" w:pos="1080"/>
          <w:tab w:val="right" w:leader="dot" w:pos="9720"/>
        </w:tabs>
        <w:ind w:left="360" w:firstLine="360"/>
        <w:rPr>
          <w:rFonts w:cs="Arial"/>
        </w:rPr>
      </w:pPr>
      <w:r w:rsidRPr="009A1213">
        <w:rPr>
          <w:rFonts w:cs="Arial"/>
        </w:rPr>
        <w:t>Onsite Activities</w:t>
      </w:r>
      <w:r w:rsidRPr="009A1213">
        <w:rPr>
          <w:rFonts w:cs="Arial"/>
        </w:rPr>
        <w:tab/>
        <w:t>94</w:t>
      </w:r>
    </w:p>
    <w:p w:rsidR="009A1213" w:rsidRPr="009A1213" w:rsidRDefault="009A1213" w:rsidP="009A1213">
      <w:pPr>
        <w:tabs>
          <w:tab w:val="left" w:pos="1080"/>
          <w:tab w:val="right" w:leader="dot" w:pos="9720"/>
        </w:tabs>
        <w:ind w:left="360" w:firstLine="360"/>
        <w:rPr>
          <w:rFonts w:cs="Arial"/>
        </w:rPr>
      </w:pPr>
      <w:r w:rsidRPr="009A1213">
        <w:rPr>
          <w:rFonts w:cs="Arial"/>
        </w:rPr>
        <w:t>Audit Result Files</w:t>
      </w:r>
      <w:r w:rsidRPr="009A1213">
        <w:rPr>
          <w:rFonts w:cs="Arial"/>
        </w:rPr>
        <w:tab/>
        <w:t>95</w:t>
      </w:r>
    </w:p>
    <w:p w:rsidR="009A1213" w:rsidRPr="009A1213" w:rsidRDefault="009A1213" w:rsidP="009A1213">
      <w:pPr>
        <w:spacing w:before="180"/>
        <w:rPr>
          <w:rFonts w:eastAsiaTheme="minorHAnsi" w:cstheme="minorBidi"/>
          <w:sz w:val="22"/>
          <w:szCs w:val="22"/>
        </w:rPr>
      </w:pPr>
    </w:p>
    <w:p w:rsidR="00803967" w:rsidRPr="00B71D90" w:rsidRDefault="00803967" w:rsidP="004417CA">
      <w:pPr>
        <w:pStyle w:val="TOC1"/>
      </w:pPr>
      <w:r w:rsidRPr="00B71D90">
        <w:t>Appendices</w:t>
      </w:r>
    </w:p>
    <w:p w:rsidR="00803967" w:rsidRPr="00B71D90" w:rsidRDefault="00803967" w:rsidP="00DA0117">
      <w:pPr>
        <w:pStyle w:val="TOC2"/>
        <w:tabs>
          <w:tab w:val="clear" w:pos="1080"/>
          <w:tab w:val="clear" w:pos="9360"/>
          <w:tab w:val="right" w:pos="9720"/>
        </w:tabs>
        <w:ind w:left="1260" w:hanging="1260"/>
        <w:rPr>
          <w:rFonts w:cs="Arial"/>
          <w:sz w:val="20"/>
        </w:rPr>
      </w:pPr>
      <w:r w:rsidRPr="00B71D90">
        <w:rPr>
          <w:rFonts w:cs="Arial"/>
          <w:sz w:val="20"/>
        </w:rPr>
        <w:t>Appendix 1</w:t>
      </w:r>
      <w:r w:rsidR="00DA0117">
        <w:rPr>
          <w:rFonts w:cs="Arial"/>
          <w:sz w:val="20"/>
        </w:rPr>
        <w:t>:</w:t>
      </w:r>
      <w:r w:rsidR="00DA0117">
        <w:rPr>
          <w:rFonts w:cs="Arial"/>
          <w:sz w:val="20"/>
        </w:rPr>
        <w:tab/>
      </w:r>
      <w:r w:rsidRPr="00B71D90">
        <w:rPr>
          <w:rFonts w:cs="Arial"/>
          <w:sz w:val="20"/>
        </w:rPr>
        <w:t>Code of Professional Conduct for Certified HEDIS Compliance Auditors</w:t>
      </w:r>
    </w:p>
    <w:p w:rsidR="008B4DF0" w:rsidRPr="00B71D90" w:rsidRDefault="00803967" w:rsidP="00DA0117">
      <w:pPr>
        <w:pStyle w:val="TOC2"/>
        <w:tabs>
          <w:tab w:val="clear" w:pos="1080"/>
          <w:tab w:val="clear" w:pos="9360"/>
          <w:tab w:val="right" w:pos="9720"/>
        </w:tabs>
        <w:ind w:left="1260" w:hanging="1260"/>
        <w:rPr>
          <w:rFonts w:cs="Arial"/>
          <w:sz w:val="20"/>
        </w:rPr>
      </w:pPr>
      <w:r w:rsidRPr="00B71D90">
        <w:rPr>
          <w:rFonts w:cs="Arial"/>
          <w:sz w:val="20"/>
        </w:rPr>
        <w:t>Appendix 2</w:t>
      </w:r>
      <w:r w:rsidR="00DA0117">
        <w:rPr>
          <w:rFonts w:cs="Arial"/>
          <w:sz w:val="20"/>
        </w:rPr>
        <w:t>:</w:t>
      </w:r>
      <w:r w:rsidR="00DA0117">
        <w:rPr>
          <w:rFonts w:cs="Arial"/>
          <w:sz w:val="20"/>
        </w:rPr>
        <w:tab/>
      </w:r>
      <w:r w:rsidR="005D5CDE" w:rsidRPr="00B71D90">
        <w:rPr>
          <w:rFonts w:cs="Arial"/>
          <w:sz w:val="20"/>
        </w:rPr>
        <w:t>HEDIS Roadmap</w:t>
      </w:r>
    </w:p>
    <w:p w:rsidR="0030296F" w:rsidRPr="00B71D90" w:rsidRDefault="008B4DF0" w:rsidP="00DA0117">
      <w:pPr>
        <w:pStyle w:val="TOC2"/>
        <w:tabs>
          <w:tab w:val="clear" w:pos="1080"/>
          <w:tab w:val="clear" w:pos="9360"/>
          <w:tab w:val="right" w:pos="9720"/>
        </w:tabs>
        <w:ind w:left="1260" w:hanging="1260"/>
        <w:rPr>
          <w:rFonts w:cs="Arial"/>
          <w:sz w:val="20"/>
        </w:rPr>
      </w:pPr>
      <w:r w:rsidRPr="00B71D90">
        <w:rPr>
          <w:rFonts w:cs="Arial"/>
          <w:sz w:val="20"/>
        </w:rPr>
        <w:t>Appendix 3</w:t>
      </w:r>
      <w:r w:rsidR="00E2026B" w:rsidRPr="00B71D90">
        <w:rPr>
          <w:rFonts w:cs="Arial"/>
          <w:sz w:val="20"/>
        </w:rPr>
        <w:t xml:space="preserve">: </w:t>
      </w:r>
      <w:r w:rsidR="00DA0117">
        <w:rPr>
          <w:rFonts w:cs="Arial"/>
          <w:sz w:val="20"/>
        </w:rPr>
        <w:tab/>
      </w:r>
      <w:r w:rsidRPr="00B71D90">
        <w:rPr>
          <w:rFonts w:cs="Arial"/>
          <w:sz w:val="20"/>
        </w:rPr>
        <w:t>WHP Roadmap</w:t>
      </w:r>
    </w:p>
    <w:p w:rsidR="00803967" w:rsidRPr="00B71D90" w:rsidRDefault="0030296F" w:rsidP="00DA0117">
      <w:pPr>
        <w:pStyle w:val="TOC2"/>
        <w:tabs>
          <w:tab w:val="clear" w:pos="1080"/>
          <w:tab w:val="clear" w:pos="9360"/>
          <w:tab w:val="right" w:pos="9720"/>
        </w:tabs>
        <w:ind w:left="1260" w:hanging="1260"/>
        <w:rPr>
          <w:rFonts w:cs="Arial"/>
          <w:sz w:val="20"/>
        </w:rPr>
      </w:pPr>
      <w:r w:rsidRPr="00B71D90">
        <w:rPr>
          <w:rFonts w:cs="Arial"/>
          <w:sz w:val="20"/>
        </w:rPr>
        <w:t xml:space="preserve">Appendix 4: </w:t>
      </w:r>
      <w:r w:rsidR="00DA0117">
        <w:rPr>
          <w:rFonts w:cs="Arial"/>
          <w:sz w:val="20"/>
        </w:rPr>
        <w:tab/>
      </w:r>
      <w:r w:rsidRPr="00B71D90">
        <w:rPr>
          <w:rFonts w:cs="Arial"/>
          <w:sz w:val="20"/>
        </w:rPr>
        <w:t>DM Roadmap</w:t>
      </w:r>
      <w:r w:rsidR="005D5CDE" w:rsidRPr="00B71D90">
        <w:rPr>
          <w:rFonts w:cs="Arial"/>
          <w:sz w:val="20"/>
        </w:rPr>
        <w:t xml:space="preserve"> </w:t>
      </w:r>
    </w:p>
    <w:p w:rsidR="00803967" w:rsidRPr="00B71D90" w:rsidRDefault="00803967" w:rsidP="00DA0117">
      <w:pPr>
        <w:pStyle w:val="TOC2"/>
        <w:tabs>
          <w:tab w:val="clear" w:pos="1080"/>
          <w:tab w:val="clear" w:pos="9360"/>
          <w:tab w:val="right" w:pos="9720"/>
        </w:tabs>
        <w:ind w:left="1260" w:hanging="1260"/>
        <w:rPr>
          <w:rFonts w:cs="Arial"/>
          <w:sz w:val="20"/>
        </w:rPr>
      </w:pPr>
      <w:r w:rsidRPr="00B71D90">
        <w:rPr>
          <w:rFonts w:cs="Arial"/>
          <w:sz w:val="20"/>
        </w:rPr>
        <w:t xml:space="preserve">Appendix </w:t>
      </w:r>
      <w:r w:rsidR="0030296F" w:rsidRPr="00B71D90">
        <w:rPr>
          <w:rFonts w:cs="Arial"/>
          <w:sz w:val="20"/>
        </w:rPr>
        <w:t>5</w:t>
      </w:r>
      <w:r w:rsidR="00E2026B" w:rsidRPr="00B71D90">
        <w:rPr>
          <w:rFonts w:cs="Arial"/>
          <w:sz w:val="20"/>
        </w:rPr>
        <w:t xml:space="preserve">: </w:t>
      </w:r>
      <w:r w:rsidR="00DA0117">
        <w:rPr>
          <w:rFonts w:cs="Arial"/>
          <w:sz w:val="20"/>
        </w:rPr>
        <w:tab/>
      </w:r>
      <w:r w:rsidRPr="00B71D90">
        <w:rPr>
          <w:rFonts w:cs="Arial"/>
          <w:sz w:val="20"/>
        </w:rPr>
        <w:t>Logical Groups for Measure Selection, Expansion and Extrapolation</w:t>
      </w:r>
    </w:p>
    <w:p w:rsidR="00803967" w:rsidRPr="00B71D90" w:rsidRDefault="00907AEE" w:rsidP="00DA0117">
      <w:pPr>
        <w:pStyle w:val="TOC2"/>
        <w:tabs>
          <w:tab w:val="clear" w:pos="1080"/>
          <w:tab w:val="clear" w:pos="9360"/>
          <w:tab w:val="right" w:pos="9720"/>
        </w:tabs>
        <w:ind w:left="1260" w:hanging="1260"/>
        <w:rPr>
          <w:rFonts w:cs="Arial"/>
          <w:sz w:val="20"/>
        </w:rPr>
      </w:pPr>
      <w:r w:rsidRPr="00B71D90">
        <w:rPr>
          <w:rFonts w:cs="Arial"/>
          <w:sz w:val="20"/>
        </w:rPr>
        <w:t xml:space="preserve">Appendix </w:t>
      </w:r>
      <w:r w:rsidR="0030296F" w:rsidRPr="00B71D90">
        <w:rPr>
          <w:rFonts w:cs="Arial"/>
          <w:sz w:val="20"/>
        </w:rPr>
        <w:t>6</w:t>
      </w:r>
      <w:r w:rsidR="00E2026B" w:rsidRPr="00B71D90">
        <w:rPr>
          <w:rFonts w:cs="Arial"/>
          <w:sz w:val="20"/>
        </w:rPr>
        <w:t xml:space="preserve">: </w:t>
      </w:r>
      <w:r w:rsidR="00DA0117">
        <w:rPr>
          <w:rFonts w:cs="Arial"/>
          <w:sz w:val="20"/>
        </w:rPr>
        <w:tab/>
      </w:r>
      <w:r w:rsidR="00803967" w:rsidRPr="00B71D90">
        <w:rPr>
          <w:rFonts w:cs="Arial"/>
          <w:sz w:val="20"/>
        </w:rPr>
        <w:t>IS Standards Compliance Tool</w:t>
      </w:r>
      <w:bookmarkStart w:id="16" w:name="_GoBack"/>
      <w:bookmarkEnd w:id="16"/>
    </w:p>
    <w:p w:rsidR="00907AEE" w:rsidRPr="00B71D90" w:rsidRDefault="00907AEE" w:rsidP="00DA0117">
      <w:pPr>
        <w:pStyle w:val="TOC2"/>
        <w:tabs>
          <w:tab w:val="clear" w:pos="1080"/>
          <w:tab w:val="clear" w:pos="9360"/>
          <w:tab w:val="right" w:pos="9720"/>
        </w:tabs>
        <w:ind w:left="1260" w:hanging="1260"/>
        <w:rPr>
          <w:rFonts w:cs="Arial"/>
          <w:sz w:val="20"/>
        </w:rPr>
      </w:pPr>
      <w:r w:rsidRPr="00B71D90">
        <w:rPr>
          <w:rFonts w:cs="Arial"/>
          <w:sz w:val="20"/>
        </w:rPr>
        <w:t xml:space="preserve">Appendix </w:t>
      </w:r>
      <w:r w:rsidR="0030296F" w:rsidRPr="00B71D90">
        <w:rPr>
          <w:rFonts w:cs="Arial"/>
          <w:sz w:val="20"/>
        </w:rPr>
        <w:t>7</w:t>
      </w:r>
      <w:r w:rsidR="00E2026B" w:rsidRPr="00B71D90">
        <w:rPr>
          <w:rFonts w:cs="Arial"/>
          <w:sz w:val="20"/>
        </w:rPr>
        <w:t xml:space="preserve">: </w:t>
      </w:r>
      <w:r w:rsidR="00DA0117">
        <w:rPr>
          <w:rFonts w:cs="Arial"/>
          <w:sz w:val="20"/>
        </w:rPr>
        <w:tab/>
      </w:r>
      <w:r w:rsidRPr="00B71D90">
        <w:rPr>
          <w:rFonts w:cs="Arial"/>
          <w:sz w:val="20"/>
        </w:rPr>
        <w:t>Glossary</w:t>
      </w:r>
    </w:p>
    <w:p w:rsidR="00803967" w:rsidRPr="00B71D90" w:rsidRDefault="00907AEE" w:rsidP="00DA0117">
      <w:pPr>
        <w:pStyle w:val="TOC2"/>
        <w:tabs>
          <w:tab w:val="clear" w:pos="1080"/>
          <w:tab w:val="clear" w:pos="9360"/>
          <w:tab w:val="right" w:pos="9720"/>
        </w:tabs>
        <w:ind w:left="1260" w:hanging="1260"/>
        <w:rPr>
          <w:rFonts w:cs="Arial"/>
          <w:sz w:val="20"/>
        </w:rPr>
      </w:pPr>
      <w:r w:rsidRPr="00B71D90">
        <w:rPr>
          <w:rFonts w:cs="Arial"/>
          <w:sz w:val="20"/>
        </w:rPr>
        <w:t xml:space="preserve">Appendix </w:t>
      </w:r>
      <w:r w:rsidR="0030296F" w:rsidRPr="00B71D90">
        <w:rPr>
          <w:rFonts w:cs="Arial"/>
          <w:sz w:val="20"/>
        </w:rPr>
        <w:t>8</w:t>
      </w:r>
      <w:r w:rsidR="007019FF">
        <w:rPr>
          <w:rFonts w:cs="Arial"/>
          <w:sz w:val="20"/>
        </w:rPr>
        <w:t xml:space="preserve">: </w:t>
      </w:r>
      <w:r w:rsidR="00DA0117">
        <w:rPr>
          <w:rFonts w:cs="Arial"/>
          <w:sz w:val="20"/>
        </w:rPr>
        <w:tab/>
      </w:r>
      <w:r w:rsidRPr="00B71D90">
        <w:rPr>
          <w:rFonts w:cs="Arial"/>
          <w:sz w:val="20"/>
        </w:rPr>
        <w:t xml:space="preserve">Survey </w:t>
      </w:r>
      <w:r w:rsidR="003F2595">
        <w:rPr>
          <w:rFonts w:cs="Arial"/>
          <w:sz w:val="20"/>
        </w:rPr>
        <w:t xml:space="preserve">Sample Frame Validation </w:t>
      </w:r>
    </w:p>
    <w:p w:rsidR="00803967" w:rsidRPr="00B71D90" w:rsidRDefault="00907AEE" w:rsidP="00DA0117">
      <w:pPr>
        <w:pStyle w:val="TOC2"/>
        <w:tabs>
          <w:tab w:val="clear" w:pos="1080"/>
          <w:tab w:val="clear" w:pos="9360"/>
          <w:tab w:val="right" w:pos="9720"/>
        </w:tabs>
        <w:ind w:left="1260" w:hanging="1260"/>
        <w:rPr>
          <w:rFonts w:cs="Arial"/>
          <w:sz w:val="20"/>
        </w:rPr>
      </w:pPr>
      <w:r w:rsidRPr="00B71D90">
        <w:rPr>
          <w:rFonts w:cs="Arial"/>
          <w:sz w:val="20"/>
        </w:rPr>
        <w:t xml:space="preserve">Appendix </w:t>
      </w:r>
      <w:r w:rsidR="0030296F" w:rsidRPr="00B71D90">
        <w:rPr>
          <w:rFonts w:cs="Arial"/>
          <w:sz w:val="20"/>
        </w:rPr>
        <w:t>9</w:t>
      </w:r>
      <w:r w:rsidR="007019FF">
        <w:rPr>
          <w:rFonts w:cs="Arial"/>
          <w:sz w:val="20"/>
        </w:rPr>
        <w:t>:</w:t>
      </w:r>
      <w:r w:rsidR="00197010">
        <w:rPr>
          <w:rFonts w:cs="Arial"/>
          <w:sz w:val="20"/>
        </w:rPr>
        <w:t xml:space="preserve"> </w:t>
      </w:r>
      <w:r w:rsidR="00DA0117">
        <w:rPr>
          <w:rFonts w:cs="Arial"/>
          <w:sz w:val="20"/>
        </w:rPr>
        <w:tab/>
      </w:r>
      <w:r w:rsidRPr="00B71D90">
        <w:rPr>
          <w:rFonts w:cs="Arial"/>
          <w:sz w:val="20"/>
        </w:rPr>
        <w:t>Software Certification Measures</w:t>
      </w:r>
    </w:p>
    <w:p w:rsidR="00907AEE" w:rsidRPr="00B71D90" w:rsidRDefault="00907AEE" w:rsidP="00DA0117">
      <w:pPr>
        <w:pStyle w:val="TOC2"/>
        <w:tabs>
          <w:tab w:val="clear" w:pos="1080"/>
          <w:tab w:val="clear" w:pos="9360"/>
          <w:tab w:val="right" w:pos="9720"/>
        </w:tabs>
        <w:ind w:left="1260" w:hanging="1260"/>
        <w:rPr>
          <w:rFonts w:cs="Arial"/>
          <w:sz w:val="20"/>
        </w:rPr>
      </w:pPr>
      <w:r w:rsidRPr="00B71D90">
        <w:rPr>
          <w:rFonts w:cs="Arial"/>
          <w:sz w:val="20"/>
        </w:rPr>
        <w:t xml:space="preserve">Appendix </w:t>
      </w:r>
      <w:r w:rsidR="0030296F" w:rsidRPr="00B71D90">
        <w:rPr>
          <w:rFonts w:cs="Arial"/>
          <w:sz w:val="20"/>
        </w:rPr>
        <w:t>10</w:t>
      </w:r>
      <w:r w:rsidR="007019FF">
        <w:rPr>
          <w:rFonts w:cs="Arial"/>
          <w:sz w:val="20"/>
        </w:rPr>
        <w:t>:</w:t>
      </w:r>
      <w:r w:rsidR="00197010">
        <w:rPr>
          <w:rFonts w:cs="Arial"/>
          <w:sz w:val="20"/>
        </w:rPr>
        <w:t xml:space="preserve"> </w:t>
      </w:r>
      <w:r w:rsidR="00DA0117">
        <w:rPr>
          <w:rFonts w:cs="Arial"/>
          <w:sz w:val="20"/>
        </w:rPr>
        <w:tab/>
      </w:r>
      <w:r w:rsidRPr="00B71D90">
        <w:rPr>
          <w:rFonts w:cs="Arial"/>
          <w:sz w:val="20"/>
        </w:rPr>
        <w:t>Bias Determination</w:t>
      </w:r>
    </w:p>
    <w:p w:rsidR="003F1F83" w:rsidRPr="00B71D90" w:rsidRDefault="003F1F83" w:rsidP="00DA0117">
      <w:pPr>
        <w:pStyle w:val="TOC2"/>
        <w:tabs>
          <w:tab w:val="clear" w:pos="1080"/>
          <w:tab w:val="clear" w:pos="9360"/>
          <w:tab w:val="right" w:pos="9720"/>
        </w:tabs>
        <w:ind w:left="1260" w:hanging="1260"/>
        <w:rPr>
          <w:rFonts w:cs="Arial"/>
          <w:sz w:val="20"/>
        </w:rPr>
      </w:pPr>
      <w:r w:rsidRPr="00B71D90">
        <w:rPr>
          <w:rFonts w:cs="Arial"/>
          <w:sz w:val="20"/>
        </w:rPr>
        <w:t>Appendix 1</w:t>
      </w:r>
      <w:r w:rsidR="0030296F" w:rsidRPr="00B71D90">
        <w:rPr>
          <w:rFonts w:cs="Arial"/>
          <w:sz w:val="20"/>
        </w:rPr>
        <w:t>1</w:t>
      </w:r>
      <w:r w:rsidR="00E2026B" w:rsidRPr="00B71D90">
        <w:rPr>
          <w:rFonts w:cs="Arial"/>
          <w:sz w:val="20"/>
        </w:rPr>
        <w:t>:</w:t>
      </w:r>
      <w:r w:rsidR="007019FF">
        <w:rPr>
          <w:rFonts w:cs="Arial"/>
          <w:sz w:val="20"/>
        </w:rPr>
        <w:t xml:space="preserve"> </w:t>
      </w:r>
      <w:r w:rsidR="00DA0117">
        <w:rPr>
          <w:rFonts w:cs="Arial"/>
          <w:sz w:val="20"/>
        </w:rPr>
        <w:tab/>
      </w:r>
      <w:r w:rsidRPr="00B71D90">
        <w:rPr>
          <w:rFonts w:cs="Arial"/>
          <w:sz w:val="20"/>
        </w:rPr>
        <w:t>Guidelines for Licensed Organization Advertising and Marketing</w:t>
      </w:r>
    </w:p>
    <w:p w:rsidR="003F1F83" w:rsidRPr="00B71D90" w:rsidRDefault="003F1F83" w:rsidP="003F1F83"/>
    <w:p w:rsidR="00803967" w:rsidRPr="00B71D90" w:rsidRDefault="00803967" w:rsidP="00671766">
      <w:pPr>
        <w:pStyle w:val="Body"/>
        <w:tabs>
          <w:tab w:val="right" w:leader="dot" w:pos="9720"/>
        </w:tabs>
        <w:spacing w:before="0"/>
        <w:rPr>
          <w:i/>
          <w:caps/>
        </w:rPr>
        <w:sectPr w:rsidR="00803967" w:rsidRPr="00B71D90" w:rsidSect="00550D6B">
          <w:headerReference w:type="even" r:id="rId26"/>
          <w:footerReference w:type="default" r:id="rId27"/>
          <w:footnotePr>
            <w:numStart w:val="2"/>
          </w:footnotePr>
          <w:pgSz w:w="12240" w:h="15840" w:code="1"/>
          <w:pgMar w:top="1080" w:right="1080" w:bottom="1080" w:left="1440" w:header="720" w:footer="720" w:gutter="0"/>
          <w:cols w:space="720"/>
        </w:sectPr>
      </w:pPr>
    </w:p>
    <w:p w:rsidR="00803967" w:rsidRPr="00B71D90" w:rsidRDefault="00803967" w:rsidP="00F827BA">
      <w:pPr>
        <w:pStyle w:val="Breakpage"/>
      </w:pPr>
    </w:p>
    <w:p w:rsidR="00803967" w:rsidRPr="00B71D90" w:rsidRDefault="00803967" w:rsidP="00F827BA">
      <w:pPr>
        <w:pStyle w:val="Breakpage"/>
      </w:pPr>
    </w:p>
    <w:p w:rsidR="00803967" w:rsidRPr="00B71D90" w:rsidRDefault="00803967" w:rsidP="00F827BA">
      <w:pPr>
        <w:pStyle w:val="Breakpage"/>
      </w:pPr>
    </w:p>
    <w:p w:rsidR="00803967" w:rsidRPr="00B71D90" w:rsidRDefault="00803967" w:rsidP="00F827BA">
      <w:pPr>
        <w:pStyle w:val="Breakpage"/>
      </w:pPr>
    </w:p>
    <w:p w:rsidR="00803967" w:rsidRPr="00B71D90" w:rsidRDefault="00803967" w:rsidP="00F827BA">
      <w:pPr>
        <w:pStyle w:val="Breakpage"/>
      </w:pPr>
    </w:p>
    <w:p w:rsidR="00803967" w:rsidRPr="00B71D90" w:rsidRDefault="00803967" w:rsidP="00F827BA">
      <w:pPr>
        <w:pStyle w:val="Breakpage"/>
      </w:pPr>
      <w:r w:rsidRPr="00B71D90">
        <w:t>Overview</w:t>
      </w:r>
    </w:p>
    <w:p w:rsidR="00803967" w:rsidRPr="00B71D90" w:rsidRDefault="00803967">
      <w:pPr>
        <w:sectPr w:rsidR="00803967" w:rsidRPr="00B71D90" w:rsidSect="00550D6B">
          <w:headerReference w:type="even" r:id="rId28"/>
          <w:headerReference w:type="default" r:id="rId29"/>
          <w:footerReference w:type="default" r:id="rId30"/>
          <w:headerReference w:type="first" r:id="rId31"/>
          <w:footerReference w:type="first" r:id="rId32"/>
          <w:footnotePr>
            <w:numStart w:val="2"/>
          </w:footnotePr>
          <w:pgSz w:w="12240" w:h="15840" w:code="1"/>
          <w:pgMar w:top="1080" w:right="1080" w:bottom="1080" w:left="1440" w:header="720" w:footer="720" w:gutter="0"/>
          <w:cols w:space="720"/>
        </w:sectPr>
      </w:pPr>
    </w:p>
    <w:p w:rsidR="00803967" w:rsidRPr="00B71D90" w:rsidRDefault="00803967" w:rsidP="00F827BA"/>
    <w:p w:rsidR="00A77150" w:rsidRPr="00B71D90" w:rsidRDefault="00A77150" w:rsidP="00F827BA">
      <w:pPr>
        <w:rPr>
          <w:rFonts w:cs="Arial"/>
          <w:szCs w:val="20"/>
        </w:rPr>
      </w:pPr>
    </w:p>
    <w:p w:rsidR="00A77150" w:rsidRPr="00B71D90" w:rsidRDefault="00A77150" w:rsidP="00F827BA"/>
    <w:p w:rsidR="00803967" w:rsidRPr="00B71D90" w:rsidRDefault="00803967" w:rsidP="00F827BA">
      <w:pPr>
        <w:sectPr w:rsidR="00803967" w:rsidRPr="00B71D90" w:rsidSect="00550D6B">
          <w:headerReference w:type="even" r:id="rId33"/>
          <w:footerReference w:type="even" r:id="rId34"/>
          <w:headerReference w:type="first" r:id="rId35"/>
          <w:footerReference w:type="first" r:id="rId36"/>
          <w:footnotePr>
            <w:numStart w:val="2"/>
          </w:footnotePr>
          <w:pgSz w:w="12240" w:h="15840" w:code="1"/>
          <w:pgMar w:top="1080" w:right="1080" w:bottom="1080" w:left="1440" w:header="720" w:footer="720" w:gutter="0"/>
          <w:pgNumType w:start="2"/>
          <w:cols w:space="720"/>
        </w:sectPr>
      </w:pPr>
    </w:p>
    <w:p w:rsidR="007514F2" w:rsidRPr="00B71D90" w:rsidRDefault="007514F2" w:rsidP="007514F2">
      <w:pPr>
        <w:pStyle w:val="SectionHead"/>
      </w:pPr>
      <w:bookmarkStart w:id="17" w:name="_Toc442253526"/>
      <w:bookmarkStart w:id="18" w:name="_Toc445715275"/>
      <w:bookmarkStart w:id="19" w:name="_Toc451673764"/>
      <w:bookmarkStart w:id="20" w:name="_Toc452170781"/>
      <w:bookmarkStart w:id="21" w:name="_Toc441634913"/>
      <w:bookmarkStart w:id="22" w:name="_Toc445715288"/>
      <w:bookmarkStart w:id="23" w:name="_Toc451673788"/>
      <w:r w:rsidRPr="00B71D90">
        <w:lastRenderedPageBreak/>
        <w:t>Overview</w:t>
      </w:r>
    </w:p>
    <w:p w:rsidR="00803967" w:rsidRPr="00B71D90" w:rsidRDefault="00803967">
      <w:pPr>
        <w:pStyle w:val="StdHead"/>
        <w:spacing w:before="0"/>
        <w:rPr>
          <w:color w:val="auto"/>
        </w:rPr>
      </w:pPr>
      <w:r w:rsidRPr="00B71D90">
        <w:rPr>
          <w:color w:val="auto"/>
        </w:rPr>
        <w:t xml:space="preserve">HEDIS </w:t>
      </w:r>
      <w:bookmarkEnd w:id="17"/>
      <w:bookmarkEnd w:id="18"/>
      <w:bookmarkEnd w:id="19"/>
      <w:bookmarkEnd w:id="20"/>
      <w:r w:rsidR="008455E2" w:rsidRPr="00B71D90">
        <w:rPr>
          <w:color w:val="auto"/>
        </w:rPr>
        <w:t>20</w:t>
      </w:r>
      <w:r w:rsidR="007B0B50" w:rsidRPr="00B71D90">
        <w:rPr>
          <w:color w:val="auto"/>
        </w:rPr>
        <w:t>1</w:t>
      </w:r>
      <w:r w:rsidR="00733976">
        <w:rPr>
          <w:color w:val="auto"/>
        </w:rPr>
        <w:t>3</w:t>
      </w:r>
    </w:p>
    <w:p w:rsidR="0010328E" w:rsidRPr="00B71D90" w:rsidRDefault="0010328E" w:rsidP="0010328E">
      <w:pPr>
        <w:pStyle w:val="Body"/>
      </w:pPr>
      <w:r w:rsidRPr="00B71D90">
        <w:t>HEDIS is one of the most widely used set</w:t>
      </w:r>
      <w:r w:rsidR="00DD114A">
        <w:t>s</w:t>
      </w:r>
      <w:r w:rsidRPr="00B71D90">
        <w:t xml:space="preserve"> of health care performance measures in the United States. It is developed and maintained by the National Committee for Quality Assurance (NCQA), a not-for-profit organization committed to assessing, reporting on and improving the quality of health care. The </w:t>
      </w:r>
      <w:r w:rsidR="005246E0" w:rsidRPr="00B71D90">
        <w:t xml:space="preserve">Health Plan </w:t>
      </w:r>
      <w:r w:rsidRPr="00B71D90">
        <w:t>Employer Data and Information Set and the term “HEDIS” originated in the late 1980s as the product of a group of forward-thinking employers and quality experts</w:t>
      </w:r>
      <w:r w:rsidR="00321D85" w:rsidRPr="00B71D90">
        <w:t>,</w:t>
      </w:r>
      <w:r w:rsidRPr="00B71D90">
        <w:t xml:space="preserve"> and was entrusted to NCQA in the early 1990’s. NCQA expanded the size and scope of HEDIS to include measures for physicians, PPOs and other organizations, and changed the name to </w:t>
      </w:r>
      <w:r w:rsidR="00C47C42" w:rsidRPr="00B71D90">
        <w:t>“</w:t>
      </w:r>
      <w:r w:rsidRPr="00B71D90">
        <w:t>Healthcare Effectiveness Data and Information Set</w:t>
      </w:r>
      <w:r w:rsidRPr="00B71D90">
        <w:rPr>
          <w:i/>
        </w:rPr>
        <w:t>.</w:t>
      </w:r>
      <w:r w:rsidR="00C47C42" w:rsidRPr="00B71D90">
        <w:t>”</w:t>
      </w:r>
      <w:r w:rsidRPr="00B71D90">
        <w:rPr>
          <w:i/>
        </w:rPr>
        <w:t xml:space="preserve"> </w:t>
      </w:r>
      <w:r w:rsidRPr="00B71D90">
        <w:t>HEDIS continues to be one of the most widely used set</w:t>
      </w:r>
      <w:r w:rsidR="00BA371E">
        <w:t>s</w:t>
      </w:r>
      <w:r w:rsidRPr="00B71D90">
        <w:t xml:space="preserve"> of health care performance measures in the United States.</w:t>
      </w:r>
    </w:p>
    <w:bookmarkEnd w:id="21"/>
    <w:bookmarkEnd w:id="22"/>
    <w:bookmarkEnd w:id="23"/>
    <w:p w:rsidR="00803967" w:rsidRPr="00B71D90" w:rsidRDefault="00803967">
      <w:pPr>
        <w:pStyle w:val="Body"/>
      </w:pPr>
      <w:r w:rsidRPr="00B71D90">
        <w:t xml:space="preserve">HEDIS </w:t>
      </w:r>
      <w:r w:rsidR="00CB6E5D" w:rsidRPr="00B71D90">
        <w:t>201</w:t>
      </w:r>
      <w:r w:rsidR="00733976">
        <w:t>3</w:t>
      </w:r>
      <w:r w:rsidRPr="00B71D90">
        <w:t xml:space="preserve"> </w:t>
      </w:r>
      <w:r w:rsidR="007A18CE" w:rsidRPr="00B71D90">
        <w:t xml:space="preserve">is published in multiple volumes and includes </w:t>
      </w:r>
      <w:r w:rsidR="00E758D9" w:rsidRPr="00E758D9">
        <w:t>80</w:t>
      </w:r>
      <w:r w:rsidR="00C82DCE" w:rsidRPr="00E758D9">
        <w:t xml:space="preserve"> measures across 5 domains of care</w:t>
      </w:r>
      <w:r w:rsidR="00B7274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350"/>
        <w:gridCol w:w="5850"/>
      </w:tblGrid>
      <w:tr w:rsidR="0010328E" w:rsidRPr="00B71D90" w:rsidTr="00406854">
        <w:tc>
          <w:tcPr>
            <w:tcW w:w="3978" w:type="dxa"/>
            <w:gridSpan w:val="2"/>
            <w:tcBorders>
              <w:top w:val="nil"/>
              <w:left w:val="nil"/>
              <w:bottom w:val="nil"/>
              <w:right w:val="nil"/>
            </w:tcBorders>
          </w:tcPr>
          <w:p w:rsidR="0010328E" w:rsidRPr="00B71D90" w:rsidRDefault="0010328E" w:rsidP="00B72749">
            <w:pPr>
              <w:pStyle w:val="Bullet"/>
              <w:spacing w:before="100"/>
            </w:pPr>
            <w:r w:rsidRPr="00B71D90">
              <w:t>Effectiveness of Care</w:t>
            </w:r>
            <w:r w:rsidR="00B72749">
              <w:t>.</w:t>
            </w:r>
          </w:p>
          <w:p w:rsidR="0010328E" w:rsidRPr="00B71D90" w:rsidRDefault="0010328E" w:rsidP="00B72749">
            <w:pPr>
              <w:pStyle w:val="Bullet"/>
              <w:spacing w:before="100"/>
            </w:pPr>
            <w:r w:rsidRPr="00B71D90">
              <w:t>Access/Availability of Care</w:t>
            </w:r>
            <w:r w:rsidR="00B72749">
              <w:t>.</w:t>
            </w:r>
          </w:p>
          <w:p w:rsidR="0010328E" w:rsidRPr="00B71D90" w:rsidRDefault="0030296F" w:rsidP="00B72749">
            <w:pPr>
              <w:pStyle w:val="Bullet"/>
              <w:spacing w:before="100"/>
            </w:pPr>
            <w:r w:rsidRPr="00B71D90">
              <w:t>Experience of Care</w:t>
            </w:r>
            <w:r w:rsidR="00B72749">
              <w:t>.</w:t>
            </w:r>
          </w:p>
        </w:tc>
        <w:tc>
          <w:tcPr>
            <w:tcW w:w="5850" w:type="dxa"/>
            <w:tcBorders>
              <w:top w:val="nil"/>
              <w:left w:val="nil"/>
              <w:bottom w:val="nil"/>
              <w:right w:val="nil"/>
            </w:tcBorders>
          </w:tcPr>
          <w:p w:rsidR="0030296F" w:rsidRPr="00B71D90" w:rsidRDefault="0030296F" w:rsidP="00B72749">
            <w:pPr>
              <w:pStyle w:val="ProcessBullet"/>
              <w:spacing w:before="100"/>
            </w:pPr>
            <w:r w:rsidRPr="00B71D90">
              <w:t>Utilization and Relative Resource Use</w:t>
            </w:r>
            <w:r w:rsidR="00B72749">
              <w:t>.</w:t>
            </w:r>
            <w:r w:rsidRPr="00B71D90">
              <w:t xml:space="preserve"> </w:t>
            </w:r>
          </w:p>
          <w:p w:rsidR="0010328E" w:rsidRPr="00B71D90" w:rsidRDefault="005246E0" w:rsidP="00B72749">
            <w:pPr>
              <w:pStyle w:val="ProcessBullet"/>
              <w:spacing w:before="100"/>
            </w:pPr>
            <w:r w:rsidRPr="00B71D90">
              <w:t>Health Plan</w:t>
            </w:r>
            <w:r w:rsidR="0010328E" w:rsidRPr="00B71D90">
              <w:t xml:space="preserve"> Descriptive Information</w:t>
            </w:r>
            <w:r w:rsidR="00B72749">
              <w:t>.</w:t>
            </w:r>
          </w:p>
        </w:tc>
      </w:tr>
      <w:tr w:rsidR="00321D85" w:rsidRPr="00B71D90" w:rsidTr="00636D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628" w:type="dxa"/>
          </w:tcPr>
          <w:p w:rsidR="00321D85" w:rsidRPr="00B71D90" w:rsidRDefault="00321D85" w:rsidP="00B72749">
            <w:pPr>
              <w:pStyle w:val="MarginSubhead"/>
              <w:spacing w:before="160"/>
              <w:ind w:left="0"/>
            </w:pPr>
            <w:r w:rsidRPr="00B71D90">
              <w:t xml:space="preserve">Volume 1: </w:t>
            </w:r>
            <w:r w:rsidRPr="00B71D90">
              <w:rPr>
                <w:bCs/>
                <w:i/>
                <w:iCs/>
              </w:rPr>
              <w:t>Narrative</w:t>
            </w:r>
          </w:p>
        </w:tc>
        <w:tc>
          <w:tcPr>
            <w:tcW w:w="7200" w:type="dxa"/>
            <w:gridSpan w:val="2"/>
          </w:tcPr>
          <w:p w:rsidR="00321D85" w:rsidRPr="00B71D90" w:rsidRDefault="00321D85" w:rsidP="00B72749">
            <w:pPr>
              <w:spacing w:before="160"/>
            </w:pPr>
            <w:r w:rsidRPr="00B71D90">
              <w:t>A general overview of the HEDIS measurement set and how the data are used.</w:t>
            </w:r>
          </w:p>
        </w:tc>
      </w:tr>
      <w:tr w:rsidR="00321D85" w:rsidRPr="009E2A9C" w:rsidTr="00636D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628" w:type="dxa"/>
          </w:tcPr>
          <w:p w:rsidR="00321D85" w:rsidRPr="009E2A9C" w:rsidRDefault="00321D85" w:rsidP="00B72749">
            <w:pPr>
              <w:pStyle w:val="MarginSubhead"/>
              <w:spacing w:before="160"/>
              <w:ind w:left="0"/>
            </w:pPr>
            <w:r w:rsidRPr="009E2A9C">
              <w:t xml:space="preserve">Volume 2: </w:t>
            </w:r>
            <w:r w:rsidRPr="009E2A9C">
              <w:rPr>
                <w:bCs/>
                <w:i/>
                <w:iCs/>
              </w:rPr>
              <w:t xml:space="preserve">Technical </w:t>
            </w:r>
            <w:r w:rsidRPr="009E2A9C">
              <w:rPr>
                <w:bCs/>
                <w:i/>
                <w:iCs/>
              </w:rPr>
              <w:br/>
              <w:t>Specifications</w:t>
            </w:r>
            <w:r w:rsidR="009533BC">
              <w:rPr>
                <w:bCs/>
                <w:i/>
                <w:iCs/>
              </w:rPr>
              <w:t xml:space="preserve"> for Health Plans</w:t>
            </w:r>
          </w:p>
        </w:tc>
        <w:tc>
          <w:tcPr>
            <w:tcW w:w="7200" w:type="dxa"/>
            <w:gridSpan w:val="2"/>
          </w:tcPr>
          <w:p w:rsidR="00321D85" w:rsidRPr="009E2A9C" w:rsidRDefault="00321D85" w:rsidP="00B72749">
            <w:pPr>
              <w:spacing w:before="160"/>
            </w:pPr>
            <w:r w:rsidRPr="009E2A9C">
              <w:t>The technical specifications for the HEDIS nonsurvey measures</w:t>
            </w:r>
            <w:r w:rsidR="00622457" w:rsidRPr="009E2A9C">
              <w:t xml:space="preserve">; instructions on collecting </w:t>
            </w:r>
            <w:r w:rsidRPr="009E2A9C">
              <w:t>data for each measure</w:t>
            </w:r>
            <w:r w:rsidR="00622457" w:rsidRPr="009E2A9C">
              <w:t>;</w:t>
            </w:r>
            <w:r w:rsidRPr="009E2A9C">
              <w:t xml:space="preserve"> general guidelines for calculations and sampling. </w:t>
            </w:r>
          </w:p>
        </w:tc>
      </w:tr>
      <w:tr w:rsidR="00321D85" w:rsidRPr="009E2A9C" w:rsidTr="00636D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628" w:type="dxa"/>
          </w:tcPr>
          <w:p w:rsidR="00321D85" w:rsidRPr="009E2A9C" w:rsidRDefault="00321D85" w:rsidP="00B72749">
            <w:pPr>
              <w:pStyle w:val="MarginSubhead"/>
              <w:spacing w:before="160"/>
              <w:ind w:left="0"/>
            </w:pPr>
            <w:r w:rsidRPr="009E2A9C">
              <w:t xml:space="preserve">Volume 2: </w:t>
            </w:r>
            <w:r w:rsidRPr="009E2A9C">
              <w:rPr>
                <w:i/>
              </w:rPr>
              <w:t>Technical Specifications for Physician Measurement</w:t>
            </w:r>
          </w:p>
        </w:tc>
        <w:tc>
          <w:tcPr>
            <w:tcW w:w="7200" w:type="dxa"/>
            <w:gridSpan w:val="2"/>
          </w:tcPr>
          <w:p w:rsidR="00321D85" w:rsidRPr="009E2A9C" w:rsidRDefault="00321D85" w:rsidP="00B72749">
            <w:pPr>
              <w:spacing w:before="160"/>
            </w:pPr>
            <w:r w:rsidRPr="009E2A9C">
              <w:t xml:space="preserve">The technical specifications for the HEDIS quality and cost of care measures for physician-level measurement. </w:t>
            </w:r>
          </w:p>
        </w:tc>
      </w:tr>
      <w:tr w:rsidR="00321D85" w:rsidRPr="009E2A9C" w:rsidTr="00636D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628" w:type="dxa"/>
          </w:tcPr>
          <w:p w:rsidR="00321D85" w:rsidRPr="009E2A9C" w:rsidRDefault="00321D85" w:rsidP="00B72749">
            <w:pPr>
              <w:pStyle w:val="MarginSubhead"/>
              <w:spacing w:before="160"/>
              <w:ind w:left="0"/>
            </w:pPr>
            <w:r w:rsidRPr="009E2A9C">
              <w:t xml:space="preserve">Volume 3: </w:t>
            </w:r>
            <w:r w:rsidRPr="009E2A9C">
              <w:rPr>
                <w:bCs/>
                <w:i/>
                <w:iCs/>
              </w:rPr>
              <w:t>Specifications for Survey Measures</w:t>
            </w:r>
          </w:p>
        </w:tc>
        <w:tc>
          <w:tcPr>
            <w:tcW w:w="7200" w:type="dxa"/>
            <w:gridSpan w:val="2"/>
          </w:tcPr>
          <w:p w:rsidR="00321D85" w:rsidRPr="009E2A9C" w:rsidRDefault="00321D85" w:rsidP="00B72749">
            <w:pPr>
              <w:spacing w:before="160"/>
            </w:pPr>
            <w:r w:rsidRPr="009E2A9C">
              <w:t>The technical specifications for HEDIS survey measures and standardized surveys from the Consumer Assessment of Healthcare Providers and Systems (CAHPS) program.</w:t>
            </w:r>
          </w:p>
        </w:tc>
      </w:tr>
      <w:tr w:rsidR="00321D85" w:rsidRPr="009E2A9C" w:rsidTr="00636D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628" w:type="dxa"/>
          </w:tcPr>
          <w:p w:rsidR="00321D85" w:rsidRPr="009E2A9C" w:rsidRDefault="00321D85" w:rsidP="00B72749">
            <w:pPr>
              <w:pStyle w:val="MarginSubhead"/>
              <w:spacing w:before="160"/>
              <w:ind w:left="0"/>
            </w:pPr>
            <w:r w:rsidRPr="009E2A9C">
              <w:t xml:space="preserve">Volume 4: </w:t>
            </w:r>
            <w:r w:rsidRPr="009E2A9C">
              <w:rPr>
                <w:bCs/>
                <w:i/>
                <w:iCs/>
              </w:rPr>
              <w:t>A Road Map for Information Systems</w:t>
            </w:r>
          </w:p>
        </w:tc>
        <w:tc>
          <w:tcPr>
            <w:tcW w:w="7200" w:type="dxa"/>
            <w:gridSpan w:val="2"/>
          </w:tcPr>
          <w:p w:rsidR="00321D85" w:rsidRPr="009E2A9C" w:rsidRDefault="00321D85" w:rsidP="00B72749">
            <w:pPr>
              <w:spacing w:before="160"/>
            </w:pPr>
            <w:r w:rsidRPr="009E2A9C">
              <w:t>An overview of the information systems necessary to support HEDIS. The most recent version of this archived volume was published in 1998.</w:t>
            </w:r>
          </w:p>
        </w:tc>
      </w:tr>
      <w:tr w:rsidR="00321D85" w:rsidRPr="009E2A9C" w:rsidTr="00636D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628" w:type="dxa"/>
          </w:tcPr>
          <w:p w:rsidR="00321D85" w:rsidRPr="009E2A9C" w:rsidRDefault="00321D85" w:rsidP="00B72749">
            <w:pPr>
              <w:pStyle w:val="MarginSubhead"/>
              <w:spacing w:before="160"/>
              <w:ind w:left="0"/>
            </w:pPr>
            <w:r w:rsidRPr="009E2A9C">
              <w:t xml:space="preserve">Volume 5: </w:t>
            </w:r>
            <w:r w:rsidRPr="009E2A9C">
              <w:rPr>
                <w:bCs/>
                <w:i/>
                <w:iCs/>
              </w:rPr>
              <w:t>HEDIS Compliance Audit™: Standards, Policies and Procedures</w:t>
            </w:r>
          </w:p>
        </w:tc>
        <w:tc>
          <w:tcPr>
            <w:tcW w:w="7200" w:type="dxa"/>
            <w:gridSpan w:val="2"/>
          </w:tcPr>
          <w:p w:rsidR="00321D85" w:rsidRPr="009E2A9C" w:rsidRDefault="00321D85" w:rsidP="00B72749">
            <w:pPr>
              <w:spacing w:before="160"/>
            </w:pPr>
            <w:r w:rsidRPr="009E2A9C">
              <w:t>The accepted method for auditing the HEDIS production process, including an information systems capabilities assessment and an evaluation of compliance with HEDIS specifications. Standards that Certified HEDIS Compliance Auditors must use when conducting a HEDIS audit.</w:t>
            </w:r>
          </w:p>
        </w:tc>
      </w:tr>
      <w:tr w:rsidR="00321D85" w:rsidRPr="009E2A9C" w:rsidTr="00636D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628" w:type="dxa"/>
          </w:tcPr>
          <w:p w:rsidR="00321D85" w:rsidRPr="009E2A9C" w:rsidRDefault="00321D85" w:rsidP="00B72749">
            <w:pPr>
              <w:pStyle w:val="MarginSubhead"/>
              <w:spacing w:before="160"/>
              <w:ind w:left="0"/>
            </w:pPr>
            <w:r w:rsidRPr="009E2A9C">
              <w:t xml:space="preserve">Volume 6: </w:t>
            </w:r>
            <w:r w:rsidRPr="009E2A9C">
              <w:rPr>
                <w:i/>
              </w:rPr>
              <w:t>Specifications for the Medicare Health Outcomes Survey</w:t>
            </w:r>
          </w:p>
        </w:tc>
        <w:tc>
          <w:tcPr>
            <w:tcW w:w="7200" w:type="dxa"/>
            <w:gridSpan w:val="2"/>
          </w:tcPr>
          <w:p w:rsidR="00321D85" w:rsidRPr="009E2A9C" w:rsidRDefault="00321D85" w:rsidP="00B72749">
            <w:pPr>
              <w:spacing w:before="160"/>
            </w:pPr>
            <w:r w:rsidRPr="009E2A9C">
              <w:t xml:space="preserve">The technical specifications for the Health Outcomes Survey (HOS). </w:t>
            </w:r>
          </w:p>
        </w:tc>
      </w:tr>
    </w:tbl>
    <w:p w:rsidR="005F1E57" w:rsidRPr="00B71D90" w:rsidRDefault="00650469" w:rsidP="00B72749">
      <w:pPr>
        <w:pStyle w:val="StdHead"/>
        <w:spacing w:before="240"/>
      </w:pPr>
      <w:bookmarkStart w:id="24" w:name="_Toc452170784"/>
      <w:r w:rsidRPr="00B71D90">
        <w:t xml:space="preserve">WHP </w:t>
      </w:r>
      <w:r w:rsidR="00CB6E5D" w:rsidRPr="00B71D90">
        <w:t>201</w:t>
      </w:r>
      <w:r w:rsidR="00E1460E">
        <w:t>3</w:t>
      </w:r>
    </w:p>
    <w:p w:rsidR="00650469" w:rsidRPr="00B71D90" w:rsidRDefault="00650469" w:rsidP="00650469">
      <w:pPr>
        <w:pStyle w:val="Body"/>
      </w:pPr>
      <w:r w:rsidRPr="00B71D90">
        <w:rPr>
          <w:i/>
          <w:iCs/>
        </w:rPr>
        <w:t xml:space="preserve">Technical Specifications for Wellness and Health Promotion </w:t>
      </w:r>
      <w:r w:rsidRPr="00B71D90">
        <w:t xml:space="preserve">(“WHP Technical Specifications”) is </w:t>
      </w:r>
      <w:r w:rsidR="00B9119D" w:rsidRPr="00B71D90">
        <w:t>a</w:t>
      </w:r>
      <w:r w:rsidR="00214289" w:rsidRPr="00B71D90">
        <w:t>n</w:t>
      </w:r>
      <w:r w:rsidR="00B9119D" w:rsidRPr="00B71D90">
        <w:t xml:space="preserve"> </w:t>
      </w:r>
      <w:r w:rsidRPr="00B71D90">
        <w:t xml:space="preserve">addition to NCQA’s suite of products. It supports standardized measurement of wellness program quality by providing specifications to enable reliable, valid measurement and reporting of wellness-specific performance. </w:t>
      </w:r>
    </w:p>
    <w:p w:rsidR="00EE2FBD" w:rsidRPr="00B71D90" w:rsidRDefault="00EE2FBD" w:rsidP="00EE2FBD">
      <w:pPr>
        <w:pStyle w:val="Body"/>
      </w:pPr>
      <w:r w:rsidRPr="00B71D90">
        <w:t xml:space="preserve">WHP </w:t>
      </w:r>
      <w:r w:rsidR="00CB6E5D" w:rsidRPr="00B71D90">
        <w:t>201</w:t>
      </w:r>
      <w:r w:rsidR="00E1460E">
        <w:t>3</w:t>
      </w:r>
      <w:r w:rsidRPr="00B71D90">
        <w:t xml:space="preserve"> is published in one volume and includes </w:t>
      </w:r>
      <w:r w:rsidR="00DE79BC">
        <w:t>ten</w:t>
      </w:r>
      <w:r w:rsidR="00C757CC" w:rsidRPr="00DE79BC">
        <w:t xml:space="preserve"> measures across </w:t>
      </w:r>
      <w:r w:rsidR="00DE79BC">
        <w:t>four</w:t>
      </w:r>
      <w:r w:rsidR="00C757CC" w:rsidRPr="00DE79BC">
        <w:t xml:space="preserve"> domains</w:t>
      </w:r>
      <w:r w:rsidRPr="00DE79BC">
        <w:t>.</w:t>
      </w:r>
    </w:p>
    <w:tbl>
      <w:tblPr>
        <w:tblW w:w="0" w:type="auto"/>
        <w:tblLook w:val="0000"/>
      </w:tblPr>
      <w:tblGrid>
        <w:gridCol w:w="2628"/>
        <w:gridCol w:w="7200"/>
      </w:tblGrid>
      <w:tr w:rsidR="00181210" w:rsidRPr="00B71D90" w:rsidTr="00181210">
        <w:tc>
          <w:tcPr>
            <w:tcW w:w="2628" w:type="dxa"/>
          </w:tcPr>
          <w:p w:rsidR="00181210" w:rsidRPr="00B72749" w:rsidRDefault="00181210" w:rsidP="00D236EF">
            <w:pPr>
              <w:pStyle w:val="MarginSubhead"/>
              <w:tabs>
                <w:tab w:val="left" w:pos="2142"/>
              </w:tabs>
              <w:ind w:left="0"/>
              <w:rPr>
                <w:b w:val="0"/>
                <w:szCs w:val="20"/>
              </w:rPr>
            </w:pPr>
            <w:r w:rsidRPr="00B72749">
              <w:rPr>
                <w:rStyle w:val="StyleMarginSubheadItalicChar"/>
                <w:b/>
                <w:bCs w:val="0"/>
                <w:iCs w:val="0"/>
                <w:sz w:val="20"/>
                <w:szCs w:val="20"/>
              </w:rPr>
              <w:t>Technical Specifications for Wellness and Health Promotion</w:t>
            </w:r>
          </w:p>
        </w:tc>
        <w:tc>
          <w:tcPr>
            <w:tcW w:w="7200" w:type="dxa"/>
          </w:tcPr>
          <w:p w:rsidR="00181210" w:rsidRPr="00B71D90" w:rsidRDefault="00D319BC" w:rsidP="00757DA0">
            <w:pPr>
              <w:pStyle w:val="Body"/>
            </w:pPr>
            <w:r w:rsidRPr="00B71D90">
              <w:t>T</w:t>
            </w:r>
            <w:r w:rsidR="00181210" w:rsidRPr="00B71D90">
              <w:t>he technical specifications for the WHP measures</w:t>
            </w:r>
            <w:r w:rsidR="00757DA0">
              <w:t xml:space="preserve">; </w:t>
            </w:r>
            <w:r w:rsidR="00181210" w:rsidRPr="00B71D90">
              <w:t>how to collect data for each measure</w:t>
            </w:r>
            <w:r w:rsidR="00757DA0">
              <w:t>;</w:t>
            </w:r>
            <w:r w:rsidR="00181210" w:rsidRPr="00B71D90">
              <w:t xml:space="preserve"> general guidelines for calculations. </w:t>
            </w:r>
          </w:p>
        </w:tc>
      </w:tr>
    </w:tbl>
    <w:p w:rsidR="005F1E57" w:rsidRPr="00B71D90" w:rsidRDefault="00B9119D" w:rsidP="00B72749">
      <w:pPr>
        <w:pStyle w:val="StdHead"/>
      </w:pPr>
      <w:r w:rsidRPr="00B71D90">
        <w:lastRenderedPageBreak/>
        <w:t xml:space="preserve">DM </w:t>
      </w:r>
      <w:r w:rsidR="00CB6E5D" w:rsidRPr="00B71D90">
        <w:t>201</w:t>
      </w:r>
      <w:r w:rsidR="00E1460E">
        <w:t>3</w:t>
      </w:r>
    </w:p>
    <w:p w:rsidR="00B9119D" w:rsidRPr="00B71D90" w:rsidRDefault="00B9119D" w:rsidP="00B9119D">
      <w:pPr>
        <w:pStyle w:val="Body"/>
      </w:pPr>
      <w:r w:rsidRPr="00B71D90">
        <w:rPr>
          <w:i/>
          <w:iCs/>
        </w:rPr>
        <w:t xml:space="preserve">Technical Specifications for Disease Management Programs </w:t>
      </w:r>
      <w:r w:rsidRPr="00B71D90">
        <w:t xml:space="preserve">(“DM Technical Specifications”) supports standardized measurement of </w:t>
      </w:r>
      <w:r w:rsidR="003C168A">
        <w:t>DM</w:t>
      </w:r>
      <w:r w:rsidRPr="00B71D90">
        <w:t xml:space="preserve"> program quality by providing specifications to enable reliable, valid measurement and reporting of DM-specific performance. </w:t>
      </w:r>
    </w:p>
    <w:p w:rsidR="00B9119D" w:rsidRPr="00B71D90" w:rsidRDefault="00B9119D" w:rsidP="00B9119D">
      <w:pPr>
        <w:pStyle w:val="Body"/>
      </w:pPr>
      <w:r w:rsidRPr="00B71D90">
        <w:t xml:space="preserve">DM </w:t>
      </w:r>
      <w:r w:rsidR="00CB6E5D" w:rsidRPr="00B71D90">
        <w:t>201</w:t>
      </w:r>
      <w:r w:rsidR="00E1460E">
        <w:t>3</w:t>
      </w:r>
      <w:r w:rsidRPr="00B71D90">
        <w:t xml:space="preserve"> is published in one volume and includes </w:t>
      </w:r>
      <w:r w:rsidR="00EE7FAC" w:rsidRPr="00DE79BC">
        <w:t xml:space="preserve">six </w:t>
      </w:r>
      <w:r w:rsidR="00C757CC" w:rsidRPr="00DE79BC">
        <w:t xml:space="preserve">measures across </w:t>
      </w:r>
      <w:r w:rsidR="00EE7FAC" w:rsidRPr="00DE79BC">
        <w:t>five</w:t>
      </w:r>
      <w:r w:rsidR="00C757CC" w:rsidRPr="00DE79BC">
        <w:t xml:space="preserve"> conditions</w:t>
      </w:r>
      <w:r w:rsidRPr="00DE79BC">
        <w:t>.</w:t>
      </w:r>
    </w:p>
    <w:tbl>
      <w:tblPr>
        <w:tblW w:w="0" w:type="auto"/>
        <w:tblLook w:val="0000"/>
      </w:tblPr>
      <w:tblGrid>
        <w:gridCol w:w="2628"/>
        <w:gridCol w:w="7200"/>
      </w:tblGrid>
      <w:tr w:rsidR="00B9119D" w:rsidRPr="00B71D90" w:rsidTr="00B9119D">
        <w:tc>
          <w:tcPr>
            <w:tcW w:w="2628" w:type="dxa"/>
          </w:tcPr>
          <w:p w:rsidR="00B9119D" w:rsidRPr="00B72749" w:rsidRDefault="00B9119D" w:rsidP="00B9119D">
            <w:pPr>
              <w:pStyle w:val="MarginSubhead"/>
              <w:tabs>
                <w:tab w:val="left" w:pos="2142"/>
              </w:tabs>
              <w:ind w:left="0"/>
              <w:rPr>
                <w:b w:val="0"/>
                <w:szCs w:val="20"/>
              </w:rPr>
            </w:pPr>
            <w:r w:rsidRPr="00B72749">
              <w:rPr>
                <w:rStyle w:val="StyleMarginSubheadItalicChar"/>
                <w:b/>
                <w:bCs w:val="0"/>
                <w:iCs w:val="0"/>
                <w:sz w:val="20"/>
                <w:szCs w:val="20"/>
              </w:rPr>
              <w:t>Technical Specifications for Disease Management Programs</w:t>
            </w:r>
          </w:p>
        </w:tc>
        <w:tc>
          <w:tcPr>
            <w:tcW w:w="7200" w:type="dxa"/>
          </w:tcPr>
          <w:p w:rsidR="00B9119D" w:rsidRPr="00B71D90" w:rsidRDefault="00B9119D" w:rsidP="00757DA0">
            <w:pPr>
              <w:pStyle w:val="Body"/>
            </w:pPr>
            <w:r w:rsidRPr="00B71D90">
              <w:t>The technical specifications for the DM measures</w:t>
            </w:r>
            <w:r w:rsidR="00757DA0">
              <w:t>;</w:t>
            </w:r>
            <w:r w:rsidRPr="00B71D90">
              <w:t xml:space="preserve"> how to collect data for each measure</w:t>
            </w:r>
            <w:r w:rsidR="00757DA0">
              <w:t>;</w:t>
            </w:r>
            <w:r w:rsidRPr="00B71D90">
              <w:t xml:space="preserve"> general guidelines for calculations. </w:t>
            </w:r>
          </w:p>
        </w:tc>
      </w:tr>
    </w:tbl>
    <w:p w:rsidR="005246E0" w:rsidRPr="00B71D90" w:rsidRDefault="005246E0" w:rsidP="003D0806">
      <w:pPr>
        <w:pStyle w:val="StdHead"/>
        <w:rPr>
          <w:bCs/>
          <w:color w:val="auto"/>
        </w:rPr>
      </w:pPr>
      <w:r w:rsidRPr="00B71D90">
        <w:rPr>
          <w:bCs/>
          <w:color w:val="auto"/>
        </w:rPr>
        <w:t xml:space="preserve">How </w:t>
      </w:r>
      <w:r w:rsidR="00B9119D" w:rsidRPr="00B71D90">
        <w:rPr>
          <w:bCs/>
          <w:color w:val="auto"/>
        </w:rPr>
        <w:t xml:space="preserve">Measures Are </w:t>
      </w:r>
      <w:r w:rsidRPr="00B71D90">
        <w:rPr>
          <w:bCs/>
          <w:color w:val="auto"/>
        </w:rPr>
        <w:t>Developed</w:t>
      </w:r>
    </w:p>
    <w:p w:rsidR="005246E0" w:rsidRPr="00B71D90" w:rsidRDefault="005246E0" w:rsidP="005246E0">
      <w:pPr>
        <w:pStyle w:val="Body"/>
      </w:pPr>
      <w:r w:rsidRPr="00B71D90">
        <w:t>NCQA’s Committee on Performance Measurement (CPM), wh</w:t>
      </w:r>
      <w:r w:rsidR="00D319BC" w:rsidRPr="00B71D90">
        <w:t>ose members are</w:t>
      </w:r>
      <w:r w:rsidRPr="00B71D90">
        <w:t xml:space="preserve"> representatives of purchasers, consumers, organizations, providers and policy makers, oversees the evolution of the measurement set. The CPM is aided in its work by Measurement Advisory Panels (MAP), which provide the clinical and technical expert knowledge required to develop measures for particular clinical areas or specific populations. Additionally, the Expert Panels and the Technical</w:t>
      </w:r>
      <w:r w:rsidR="00881B65">
        <w:t xml:space="preserve"> Measurement Advisory Panel </w:t>
      </w:r>
      <w:r w:rsidRPr="00B71D90">
        <w:t>(</w:t>
      </w:r>
      <w:r w:rsidR="00881B65">
        <w:t>T</w:t>
      </w:r>
      <w:r w:rsidR="00080B63">
        <w:t>M</w:t>
      </w:r>
      <w:r w:rsidR="00881B65">
        <w:t>AP</w:t>
      </w:r>
      <w:r w:rsidRPr="00B71D90">
        <w:t>) provide invaluable assistance by identifying methodological issues related to the current measurement set and recommending solutions</w:t>
      </w:r>
      <w:r w:rsidR="008461FB" w:rsidRPr="00B71D90">
        <w:t>,</w:t>
      </w:r>
      <w:r w:rsidRPr="00B71D90">
        <w:t xml:space="preserve"> as well as </w:t>
      </w:r>
      <w:r w:rsidR="00757DA0">
        <w:t xml:space="preserve">by </w:t>
      </w:r>
      <w:r w:rsidRPr="00B71D90">
        <w:t>providing feedback on new measurement specifications.</w:t>
      </w:r>
    </w:p>
    <w:p w:rsidR="00803967" w:rsidRPr="00B71D90" w:rsidRDefault="00803967" w:rsidP="00142118">
      <w:pPr>
        <w:pStyle w:val="StdHead"/>
        <w:rPr>
          <w:color w:val="auto"/>
        </w:rPr>
      </w:pPr>
      <w:r w:rsidRPr="00B71D90">
        <w:rPr>
          <w:color w:val="auto"/>
        </w:rPr>
        <w:t>What’s New in Volume 5</w:t>
      </w:r>
      <w:bookmarkEnd w:id="24"/>
      <w:r w:rsidR="00530A31" w:rsidRPr="00B71D90">
        <w:rPr>
          <w:color w:val="auto"/>
        </w:rPr>
        <w:t>?</w:t>
      </w:r>
    </w:p>
    <w:p w:rsidR="00D300D3" w:rsidRDefault="00D300D3" w:rsidP="00D300D3">
      <w:pPr>
        <w:pStyle w:val="ProcessBullet"/>
        <w:spacing w:before="180"/>
      </w:pPr>
      <w:r>
        <w:t xml:space="preserve">Modified the note for </w:t>
      </w:r>
      <w:r w:rsidRPr="00D300D3">
        <w:rPr>
          <w:i/>
        </w:rPr>
        <w:t>Contract Execution</w:t>
      </w:r>
      <w:r>
        <w:t xml:space="preserve"> in the </w:t>
      </w:r>
      <w:r w:rsidRPr="009E2A9C">
        <w:rPr>
          <w:i/>
        </w:rPr>
        <w:t>Audit Process: Offsite Methods</w:t>
      </w:r>
      <w:r w:rsidRPr="00757DA0">
        <w:t xml:space="preserve"> section. </w:t>
      </w:r>
    </w:p>
    <w:p w:rsidR="009E2A9C" w:rsidRPr="00757DA0" w:rsidRDefault="009E2A9C" w:rsidP="00BA371E">
      <w:pPr>
        <w:pStyle w:val="ProcessBullet"/>
      </w:pPr>
      <w:r>
        <w:t>Adopted</w:t>
      </w:r>
      <w:r w:rsidR="000827E7" w:rsidRPr="00E758D9">
        <w:t xml:space="preserve"> a new process for </w:t>
      </w:r>
      <w:r w:rsidR="00D11D7F" w:rsidRPr="00BA371E">
        <w:t>medical record review val</w:t>
      </w:r>
      <w:r w:rsidR="000827E7" w:rsidRPr="00BA371E">
        <w:t>idation (MRRV)</w:t>
      </w:r>
      <w:r>
        <w:t xml:space="preserve"> in the </w:t>
      </w:r>
      <w:r w:rsidRPr="009E2A9C">
        <w:rPr>
          <w:i/>
        </w:rPr>
        <w:t>Audit Process: Offsite Methods</w:t>
      </w:r>
      <w:r w:rsidRPr="00757DA0">
        <w:t xml:space="preserve"> section. </w:t>
      </w:r>
    </w:p>
    <w:p w:rsidR="00EA2908" w:rsidRPr="00B71D90" w:rsidRDefault="00EA2908" w:rsidP="00B72749">
      <w:pPr>
        <w:pStyle w:val="ProcessBullet"/>
      </w:pPr>
      <w:r>
        <w:t xml:space="preserve">Modified the </w:t>
      </w:r>
      <w:r w:rsidR="00E758D9">
        <w:t xml:space="preserve">audit </w:t>
      </w:r>
      <w:r w:rsidR="000827E7" w:rsidRPr="00E758D9">
        <w:t>timeline</w:t>
      </w:r>
      <w:r>
        <w:t xml:space="preserve"> in the </w:t>
      </w:r>
      <w:r w:rsidRPr="009E2A9C">
        <w:rPr>
          <w:i/>
        </w:rPr>
        <w:t>Audit Process: Offsite Methods</w:t>
      </w:r>
      <w:r w:rsidRPr="00757DA0">
        <w:t xml:space="preserve"> section.</w:t>
      </w:r>
      <w:r>
        <w:t xml:space="preserve"> </w:t>
      </w:r>
    </w:p>
    <w:p w:rsidR="00CB1444" w:rsidRPr="00CB1444" w:rsidRDefault="00CB1444" w:rsidP="00B72749">
      <w:pPr>
        <w:pStyle w:val="ProcessBullet"/>
      </w:pPr>
      <w:r w:rsidRPr="00CB1444">
        <w:t xml:space="preserve">Added a sign-in sheet requirement to the onsite process in </w:t>
      </w:r>
      <w:r w:rsidRPr="00CB1444">
        <w:rPr>
          <w:i/>
        </w:rPr>
        <w:t>Audit Process: Onsite Methods</w:t>
      </w:r>
      <w:r>
        <w:t xml:space="preserve"> section.</w:t>
      </w:r>
    </w:p>
    <w:p w:rsidR="00E65D62" w:rsidRDefault="00502AF9" w:rsidP="00B72749">
      <w:pPr>
        <w:pStyle w:val="ProcessBullet"/>
        <w:rPr>
          <w:i/>
        </w:rPr>
      </w:pPr>
      <w:r>
        <w:t>Modified Final Audit Report requirements</w:t>
      </w:r>
      <w:r w:rsidR="00422C26">
        <w:t xml:space="preserve"> </w:t>
      </w:r>
      <w:r>
        <w:t>in</w:t>
      </w:r>
      <w:r w:rsidR="00757DA0">
        <w:t xml:space="preserve"> the</w:t>
      </w:r>
      <w:r>
        <w:t xml:space="preserve"> </w:t>
      </w:r>
      <w:r w:rsidRPr="00CB1444">
        <w:rPr>
          <w:i/>
        </w:rPr>
        <w:t xml:space="preserve">Audit Process: </w:t>
      </w:r>
      <w:r>
        <w:rPr>
          <w:i/>
        </w:rPr>
        <w:t>Post-</w:t>
      </w:r>
      <w:r w:rsidRPr="00CB1444">
        <w:rPr>
          <w:i/>
        </w:rPr>
        <w:t xml:space="preserve">Onsite </w:t>
      </w:r>
      <w:r>
        <w:rPr>
          <w:i/>
        </w:rPr>
        <w:t xml:space="preserve">and Reporting </w:t>
      </w:r>
      <w:r>
        <w:t>section</w:t>
      </w:r>
      <w:r w:rsidR="00E65D62" w:rsidRPr="00CB1444">
        <w:rPr>
          <w:i/>
        </w:rPr>
        <w:t>.</w:t>
      </w:r>
    </w:p>
    <w:p w:rsidR="00502AF9" w:rsidRPr="00EB7EAC" w:rsidRDefault="00502AF9" w:rsidP="00B72749">
      <w:pPr>
        <w:pStyle w:val="ProcessBullet"/>
      </w:pPr>
      <w:r w:rsidRPr="00EB7EAC">
        <w:t>Modified the e</w:t>
      </w:r>
      <w:r w:rsidR="00757DA0">
        <w:t>-</w:t>
      </w:r>
      <w:r w:rsidRPr="00EB7EAC">
        <w:t xml:space="preserve">mail requirements for </w:t>
      </w:r>
      <w:r w:rsidR="00EB7EAC" w:rsidRPr="00EB7EAC">
        <w:rPr>
          <w:i/>
        </w:rPr>
        <w:t xml:space="preserve">Work </w:t>
      </w:r>
      <w:r w:rsidRPr="00EB7EAC">
        <w:rPr>
          <w:i/>
        </w:rPr>
        <w:t>Papers</w:t>
      </w:r>
      <w:r w:rsidR="00EB7EAC" w:rsidRPr="00EB7EAC">
        <w:rPr>
          <w:i/>
        </w:rPr>
        <w:t xml:space="preserve"> and Documentation</w:t>
      </w:r>
      <w:r w:rsidR="00D833A0">
        <w:rPr>
          <w:i/>
        </w:rPr>
        <w:t>,</w:t>
      </w:r>
      <w:r w:rsidR="00D833A0">
        <w:t xml:space="preserve"> in</w:t>
      </w:r>
      <w:r w:rsidR="00EB7EAC" w:rsidRPr="00EB7EAC">
        <w:t xml:space="preserve"> the </w:t>
      </w:r>
      <w:r w:rsidR="00EB7EAC" w:rsidRPr="00EB7EAC">
        <w:rPr>
          <w:i/>
        </w:rPr>
        <w:t xml:space="preserve">Post-Onsite </w:t>
      </w:r>
      <w:r w:rsidR="00757DA0">
        <w:rPr>
          <w:i/>
        </w:rPr>
        <w:t xml:space="preserve">and Reporting </w:t>
      </w:r>
      <w:r w:rsidR="00757DA0">
        <w:t>s</w:t>
      </w:r>
      <w:r w:rsidR="00EB7EAC" w:rsidRPr="00757DA0">
        <w:t>ection.</w:t>
      </w:r>
      <w:r w:rsidRPr="00EB7EAC">
        <w:t xml:space="preserve"> </w:t>
      </w:r>
    </w:p>
    <w:p w:rsidR="00803967" w:rsidRPr="00B71D90" w:rsidRDefault="00803967" w:rsidP="00D319BC">
      <w:pPr>
        <w:pStyle w:val="StdHead"/>
        <w:rPr>
          <w:color w:val="auto"/>
        </w:rPr>
      </w:pPr>
      <w:r w:rsidRPr="00B71D90">
        <w:rPr>
          <w:color w:val="auto"/>
        </w:rPr>
        <w:t xml:space="preserve">How Volume 5 </w:t>
      </w:r>
      <w:r w:rsidR="00800E76" w:rsidRPr="00B71D90">
        <w:rPr>
          <w:color w:val="auto"/>
        </w:rPr>
        <w:t>I</w:t>
      </w:r>
      <w:r w:rsidR="00E934E4" w:rsidRPr="00B71D90">
        <w:rPr>
          <w:color w:val="auto"/>
        </w:rPr>
        <w:t xml:space="preserve">s </w:t>
      </w:r>
      <w:r w:rsidRPr="00B71D90">
        <w:rPr>
          <w:color w:val="auto"/>
        </w:rPr>
        <w:t>Organized</w:t>
      </w:r>
    </w:p>
    <w:tbl>
      <w:tblPr>
        <w:tblW w:w="0" w:type="auto"/>
        <w:tblInd w:w="18" w:type="dxa"/>
        <w:tblLayout w:type="fixed"/>
        <w:tblLook w:val="0000"/>
      </w:tblPr>
      <w:tblGrid>
        <w:gridCol w:w="2610"/>
        <w:gridCol w:w="7200"/>
      </w:tblGrid>
      <w:tr w:rsidR="00803967" w:rsidRPr="00B71D90">
        <w:tc>
          <w:tcPr>
            <w:tcW w:w="2610" w:type="dxa"/>
          </w:tcPr>
          <w:p w:rsidR="00803967" w:rsidRPr="00B71D90" w:rsidRDefault="00803967">
            <w:pPr>
              <w:pStyle w:val="MarginSubhead"/>
            </w:pPr>
            <w:r w:rsidRPr="00B71D90">
              <w:t>Introduction</w:t>
            </w:r>
          </w:p>
        </w:tc>
        <w:tc>
          <w:tcPr>
            <w:tcW w:w="7200" w:type="dxa"/>
          </w:tcPr>
          <w:p w:rsidR="00803967" w:rsidRPr="00B71D90" w:rsidRDefault="004E1A2B">
            <w:pPr>
              <w:pStyle w:val="Body"/>
            </w:pPr>
            <w:r w:rsidRPr="00B71D90">
              <w:t>T</w:t>
            </w:r>
            <w:r w:rsidR="00803967" w:rsidRPr="00B71D90">
              <w:t xml:space="preserve">he origins of the HEDIS Audit </w:t>
            </w:r>
            <w:r w:rsidR="00FC7B32" w:rsidRPr="00B71D90">
              <w:t>program and</w:t>
            </w:r>
            <w:r w:rsidRPr="00B71D90">
              <w:t xml:space="preserve"> </w:t>
            </w:r>
            <w:r w:rsidR="00FC7B32" w:rsidRPr="00B71D90">
              <w:t xml:space="preserve">an overview of </w:t>
            </w:r>
            <w:r w:rsidR="00B463A2" w:rsidRPr="00B71D90">
              <w:t xml:space="preserve">the audit </w:t>
            </w:r>
            <w:r w:rsidR="00FC7B32" w:rsidRPr="00B71D90">
              <w:t>process</w:t>
            </w:r>
            <w:r w:rsidR="00803967" w:rsidRPr="00B71D90">
              <w:t>.</w:t>
            </w:r>
          </w:p>
        </w:tc>
      </w:tr>
      <w:tr w:rsidR="00803967" w:rsidRPr="00B71D90">
        <w:tc>
          <w:tcPr>
            <w:tcW w:w="2610" w:type="dxa"/>
          </w:tcPr>
          <w:p w:rsidR="00803967" w:rsidRPr="00B71D90" w:rsidRDefault="00803967">
            <w:pPr>
              <w:pStyle w:val="MarginSubhead"/>
            </w:pPr>
            <w:r w:rsidRPr="00B71D90">
              <w:t>Policies and Procedures</w:t>
            </w:r>
          </w:p>
        </w:tc>
        <w:tc>
          <w:tcPr>
            <w:tcW w:w="7200" w:type="dxa"/>
          </w:tcPr>
          <w:p w:rsidR="00803967" w:rsidRPr="00B71D90" w:rsidRDefault="004E1A2B">
            <w:pPr>
              <w:pStyle w:val="Body"/>
            </w:pPr>
            <w:r w:rsidRPr="00B71D90">
              <w:t>P</w:t>
            </w:r>
            <w:r w:rsidR="00803967" w:rsidRPr="00B71D90">
              <w:t>olicies and procedures for NCQA Licensed Organizations and Certified Auditors.</w:t>
            </w:r>
          </w:p>
        </w:tc>
      </w:tr>
      <w:tr w:rsidR="00803967" w:rsidRPr="00B71D90">
        <w:tc>
          <w:tcPr>
            <w:tcW w:w="2610" w:type="dxa"/>
          </w:tcPr>
          <w:p w:rsidR="00803967" w:rsidRPr="00B71D90" w:rsidRDefault="00803967">
            <w:pPr>
              <w:pStyle w:val="MarginSubhead"/>
            </w:pPr>
            <w:r w:rsidRPr="00B71D90">
              <w:t>HEDIS Compliance Audit Standards</w:t>
            </w:r>
          </w:p>
        </w:tc>
        <w:tc>
          <w:tcPr>
            <w:tcW w:w="7200" w:type="dxa"/>
          </w:tcPr>
          <w:p w:rsidR="00C07B72" w:rsidRPr="00B71D90" w:rsidRDefault="004E1A2B" w:rsidP="00F51C6B">
            <w:pPr>
              <w:pStyle w:val="Body"/>
            </w:pPr>
            <w:r w:rsidRPr="00B71D90">
              <w:t>T</w:t>
            </w:r>
            <w:r w:rsidR="00803967" w:rsidRPr="00B71D90">
              <w:t xml:space="preserve">he Information Systems (IS) and </w:t>
            </w:r>
            <w:r w:rsidR="00F51C6B" w:rsidRPr="00B71D90">
              <w:t xml:space="preserve">HEDIS </w:t>
            </w:r>
            <w:r w:rsidR="00803967" w:rsidRPr="00B71D90">
              <w:t>Determination (HD) audit standards that form the basis of the audit process.</w:t>
            </w:r>
          </w:p>
        </w:tc>
      </w:tr>
      <w:tr w:rsidR="00803967" w:rsidRPr="00B71D90">
        <w:tc>
          <w:tcPr>
            <w:tcW w:w="2610" w:type="dxa"/>
          </w:tcPr>
          <w:p w:rsidR="00803967" w:rsidRPr="00B71D90" w:rsidRDefault="00803967" w:rsidP="00571F17">
            <w:pPr>
              <w:pStyle w:val="MarginSubhead"/>
            </w:pPr>
            <w:r w:rsidRPr="00B71D90">
              <w:t>Aud</w:t>
            </w:r>
            <w:r w:rsidR="0070263B" w:rsidRPr="00B71D90">
              <w:t xml:space="preserve">it Process: </w:t>
            </w:r>
            <w:r w:rsidR="00BA371E">
              <w:br/>
            </w:r>
            <w:r w:rsidR="0070263B" w:rsidRPr="00B71D90">
              <w:t>Offsite Method</w:t>
            </w:r>
            <w:r w:rsidRPr="00B71D90">
              <w:t>s</w:t>
            </w:r>
          </w:p>
        </w:tc>
        <w:tc>
          <w:tcPr>
            <w:tcW w:w="7200" w:type="dxa"/>
          </w:tcPr>
          <w:p w:rsidR="00803967" w:rsidRPr="00B71D90" w:rsidRDefault="004E1A2B">
            <w:pPr>
              <w:pStyle w:val="Body"/>
            </w:pPr>
            <w:r w:rsidRPr="00B71D90">
              <w:t>Offsite a</w:t>
            </w:r>
            <w:r w:rsidR="00803967" w:rsidRPr="00B71D90">
              <w:t>ctivities.</w:t>
            </w:r>
          </w:p>
        </w:tc>
      </w:tr>
      <w:tr w:rsidR="00355985" w:rsidRPr="00B71D90" w:rsidTr="00355985">
        <w:trPr>
          <w:cantSplit/>
        </w:trPr>
        <w:tc>
          <w:tcPr>
            <w:tcW w:w="2610" w:type="dxa"/>
          </w:tcPr>
          <w:p w:rsidR="00355985" w:rsidRPr="00B71D90" w:rsidRDefault="00355985" w:rsidP="00355985">
            <w:pPr>
              <w:pStyle w:val="MarginSubhead"/>
            </w:pPr>
            <w:r w:rsidRPr="00B71D90">
              <w:t>Au</w:t>
            </w:r>
            <w:r w:rsidR="0070263B" w:rsidRPr="00B71D90">
              <w:t xml:space="preserve">dit Process: </w:t>
            </w:r>
            <w:r w:rsidR="00BA371E">
              <w:br/>
            </w:r>
            <w:r w:rsidR="0070263B" w:rsidRPr="00B71D90">
              <w:t>Onsite Method</w:t>
            </w:r>
            <w:r w:rsidRPr="00B71D90">
              <w:t>s</w:t>
            </w:r>
          </w:p>
        </w:tc>
        <w:tc>
          <w:tcPr>
            <w:tcW w:w="7200" w:type="dxa"/>
          </w:tcPr>
          <w:p w:rsidR="00355985" w:rsidRPr="00B71D90" w:rsidRDefault="00355985" w:rsidP="00355985">
            <w:pPr>
              <w:pStyle w:val="Body"/>
            </w:pPr>
            <w:r w:rsidRPr="00B71D90">
              <w:t>Onsite activities.</w:t>
            </w:r>
          </w:p>
        </w:tc>
      </w:tr>
      <w:tr w:rsidR="00355985" w:rsidRPr="00B71D90" w:rsidTr="00355985">
        <w:tc>
          <w:tcPr>
            <w:tcW w:w="2610" w:type="dxa"/>
          </w:tcPr>
          <w:p w:rsidR="00355985" w:rsidRPr="00B71D90" w:rsidRDefault="00355985" w:rsidP="00355985">
            <w:pPr>
              <w:pStyle w:val="MarginSubhead"/>
            </w:pPr>
            <w:r w:rsidRPr="00B71D90">
              <w:t>Audit Process: Post-Onsite and Reporting</w:t>
            </w:r>
          </w:p>
        </w:tc>
        <w:tc>
          <w:tcPr>
            <w:tcW w:w="7200" w:type="dxa"/>
          </w:tcPr>
          <w:p w:rsidR="00355985" w:rsidRPr="00B71D90" w:rsidRDefault="00355985" w:rsidP="00355985">
            <w:pPr>
              <w:pStyle w:val="Body"/>
            </w:pPr>
            <w:r w:rsidRPr="00B71D90">
              <w:t xml:space="preserve">Post-onsite activities and procedures for reporting results. </w:t>
            </w:r>
          </w:p>
        </w:tc>
      </w:tr>
    </w:tbl>
    <w:p w:rsidR="00342F5F" w:rsidRPr="00B71D90" w:rsidRDefault="00803967">
      <w:pPr>
        <w:pStyle w:val="StdHead"/>
        <w:rPr>
          <w:color w:val="auto"/>
        </w:rPr>
      </w:pPr>
      <w:bookmarkStart w:id="25" w:name="_Toc452170786"/>
      <w:r w:rsidRPr="00B71D90">
        <w:rPr>
          <w:color w:val="auto"/>
        </w:rPr>
        <w:lastRenderedPageBreak/>
        <w:t>If You Have Questions About the Specifications...</w:t>
      </w:r>
    </w:p>
    <w:p w:rsidR="00CB7A3E" w:rsidRPr="00B71D90" w:rsidRDefault="00CB7A3E" w:rsidP="00F55A06">
      <w:pPr>
        <w:pStyle w:val="SubHead"/>
        <w:spacing w:before="240"/>
      </w:pPr>
      <w:r w:rsidRPr="00B71D90">
        <w:t xml:space="preserve">Policy Clarification Support </w:t>
      </w:r>
    </w:p>
    <w:p w:rsidR="00CB7A3E" w:rsidRPr="00B71D90" w:rsidRDefault="00CB7A3E" w:rsidP="00CB7A3E">
      <w:pPr>
        <w:pStyle w:val="Body"/>
      </w:pPr>
      <w:r w:rsidRPr="00B71D90">
        <w:t xml:space="preserve">NCQA provides different types of policy support to customers, including frequently asked questions (FAQ), Policy Updates and a function that allows customers to submit specific policy interpretation questions to NCQA staff. The Policy Clarification Support (PCS) </w:t>
      </w:r>
      <w:r w:rsidR="00F55A06" w:rsidRPr="00B71D90">
        <w:t>s</w:t>
      </w:r>
      <w:r w:rsidRPr="00B71D90">
        <w:t>ystem is accessible via the NCQA Web site at</w:t>
      </w:r>
      <w:r w:rsidR="00305A4F" w:rsidRPr="00B71D90">
        <w:t xml:space="preserve"> </w:t>
      </w:r>
      <w:hyperlink r:id="rId37" w:history="1">
        <w:r w:rsidR="00305A4F" w:rsidRPr="00B71D90">
          <w:rPr>
            <w:rStyle w:val="Hyperlink"/>
            <w:rFonts w:cs="Arial"/>
            <w:color w:val="auto"/>
            <w:szCs w:val="20"/>
          </w:rPr>
          <w:t>www.ncqa.org/pcs</w:t>
        </w:r>
      </w:hyperlink>
      <w:r w:rsidRPr="00B71D90">
        <w:rPr>
          <w:rFonts w:cs="Arial"/>
          <w:szCs w:val="20"/>
        </w:rPr>
        <w:t>.</w:t>
      </w:r>
    </w:p>
    <w:p w:rsidR="00CB7A3E" w:rsidRPr="00B71D90" w:rsidRDefault="00CB7A3E" w:rsidP="00CB7A3E">
      <w:pPr>
        <w:pStyle w:val="SubHead"/>
      </w:pPr>
      <w:r w:rsidRPr="00B71D90">
        <w:t>FAQs</w:t>
      </w:r>
      <w:r w:rsidR="00972A47">
        <w:t xml:space="preserve"> </w:t>
      </w:r>
      <w:r w:rsidR="00972A47" w:rsidRPr="009A1FE6">
        <w:t>and Policy Updates</w:t>
      </w:r>
    </w:p>
    <w:p w:rsidR="00CB7A3E" w:rsidRPr="00B71D90" w:rsidRDefault="00CB7A3E" w:rsidP="00CB7A3E">
      <w:pPr>
        <w:pStyle w:val="Body"/>
      </w:pPr>
      <w:r w:rsidRPr="00B71D90">
        <w:t xml:space="preserve">The FAQs </w:t>
      </w:r>
      <w:r w:rsidR="006D6874">
        <w:t xml:space="preserve">and Policy Updates </w:t>
      </w:r>
      <w:r w:rsidRPr="00B71D90">
        <w:t>clarify HEDIS uses and specifications and are posted to the NCQA Web site on the 15th of each month.</w:t>
      </w:r>
    </w:p>
    <w:p w:rsidR="00CB7A3E" w:rsidRPr="00B71D90" w:rsidRDefault="00CB7A3E" w:rsidP="00CB7A3E">
      <w:pPr>
        <w:pStyle w:val="SubHead"/>
      </w:pPr>
      <w:r w:rsidRPr="00B71D90">
        <w:t>Additional Resources</w:t>
      </w:r>
    </w:p>
    <w:p w:rsidR="00CB7A3E" w:rsidRPr="00B71D90" w:rsidRDefault="00CB7A3E" w:rsidP="00CB7A3E">
      <w:pPr>
        <w:pStyle w:val="Body"/>
      </w:pPr>
      <w:r w:rsidRPr="00B71D90">
        <w:t>In addition to the specification volumes, NCQA provides a variety of resources to help organizations understand measure specifications, collect HEDIS data and report results.</w:t>
      </w:r>
    </w:p>
    <w:p w:rsidR="008637BB" w:rsidRPr="00B71D90" w:rsidRDefault="00CB7A3E">
      <w:pPr>
        <w:pStyle w:val="Bullet"/>
        <w:rPr>
          <w:sz w:val="18"/>
          <w:szCs w:val="18"/>
        </w:rPr>
      </w:pPr>
      <w:r w:rsidRPr="00B71D90">
        <w:t xml:space="preserve">Each organization implementing HEDIS is strongly encouraged to join NCQA’s HEDIS Users Group (HUG) for technical assistance and guidance on interpreting the specifications. Membership benefits include NCQA HEDIS and </w:t>
      </w:r>
      <w:r w:rsidR="00AA1643" w:rsidRPr="00B71D90">
        <w:t>A</w:t>
      </w:r>
      <w:r w:rsidRPr="00B71D90">
        <w:t xml:space="preserve">ccreditation publications, newsletters, </w:t>
      </w:r>
      <w:r w:rsidR="008B4642">
        <w:t>i</w:t>
      </w:r>
      <w:r w:rsidRPr="00B71D90">
        <w:t>nternet seminars, discount vouchers for HEDIS conferences and publications and up-to-date technical information.</w:t>
      </w:r>
    </w:p>
    <w:p w:rsidR="00AA1643" w:rsidRPr="00B71D90" w:rsidRDefault="00CB7A3E" w:rsidP="00355985">
      <w:pPr>
        <w:pStyle w:val="Bullet"/>
        <w:rPr>
          <w:sz w:val="18"/>
          <w:szCs w:val="18"/>
        </w:rPr>
      </w:pPr>
      <w:r w:rsidRPr="00B71D90">
        <w:t>All HEDIS publications are available as easy-to-use electronic publications (e-pubs) that contain the complete text of NCQA printed publications and are sold by user licenses. E-pubs are protected Microsoft Word and Excel files sent to purchaser</w:t>
      </w:r>
      <w:r w:rsidR="00AA1643" w:rsidRPr="00B71D90">
        <w:t>s</w:t>
      </w:r>
      <w:r w:rsidRPr="00B71D90">
        <w:t xml:space="preserve"> via e-mail</w:t>
      </w:r>
      <w:r w:rsidR="00AA1643" w:rsidRPr="00B71D90">
        <w:t xml:space="preserve">; they </w:t>
      </w:r>
      <w:r w:rsidRPr="00B71D90">
        <w:t>are simple to download onto a PC, network or intranet.</w:t>
      </w:r>
    </w:p>
    <w:p w:rsidR="00406854" w:rsidRPr="00B71D90" w:rsidRDefault="00406854" w:rsidP="004F42D4">
      <w:pPr>
        <w:pStyle w:val="Bullet"/>
      </w:pPr>
      <w:r w:rsidRPr="00B71D90">
        <w:t>Save programming hours, eliminate the manual search for codes and reduce keying errors with the HEDIS Electronic Coding Table (ECT). The ECT provides an easy way to incorporate CPT</w:t>
      </w:r>
      <w:r w:rsidR="00BA371E">
        <w:rPr>
          <w:szCs w:val="20"/>
          <w:vertAlign w:val="superscript"/>
        </w:rPr>
        <w:t>2</w:t>
      </w:r>
      <w:r w:rsidRPr="00B71D90">
        <w:rPr>
          <w:szCs w:val="20"/>
        </w:rPr>
        <w:t>,</w:t>
      </w:r>
      <w:r w:rsidRPr="00B71D90">
        <w:t xml:space="preserve"> HCPCS, ICD-9-CM, UB-Revenue and Type of Bill, MS-DRG and LOINC</w:t>
      </w:r>
      <w:r w:rsidRPr="00B71D90">
        <w:rPr>
          <w:vertAlign w:val="superscript"/>
        </w:rPr>
        <w:t>®</w:t>
      </w:r>
      <w:r w:rsidR="00BA371E">
        <w:rPr>
          <w:szCs w:val="20"/>
          <w:vertAlign w:val="superscript"/>
        </w:rPr>
        <w:t>3</w:t>
      </w:r>
      <w:r w:rsidRPr="00B71D90">
        <w:t xml:space="preserve"> codes into an organization’s data collection program. The ECT, available in XML, was released in early September with a final release scheduled for December.</w:t>
      </w:r>
    </w:p>
    <w:p w:rsidR="00F55A06" w:rsidRPr="00B71D90" w:rsidRDefault="00CB7A3E" w:rsidP="00406854">
      <w:pPr>
        <w:pStyle w:val="Bullet"/>
      </w:pPr>
      <w:r w:rsidRPr="00B71D90">
        <w:t>NCQA produces many publications that are relevant to organizations and physicians interested in improving the quality of health care. To obtain a list or to order publications, go to the N</w:t>
      </w:r>
      <w:r w:rsidR="00F55A06" w:rsidRPr="00B71D90">
        <w:t>CQA Publications Center at</w:t>
      </w:r>
      <w:r w:rsidR="00F55A06" w:rsidRPr="00B71D90">
        <w:rPr>
          <w:rStyle w:val="BodyChar1"/>
        </w:rPr>
        <w:t xml:space="preserve"> </w:t>
      </w:r>
      <w:r w:rsidR="00F55A06" w:rsidRPr="00B71D90">
        <w:rPr>
          <w:rStyle w:val="Hyperlink"/>
          <w:color w:val="auto"/>
        </w:rPr>
        <w:t>web.ncqa.org</w:t>
      </w:r>
      <w:r w:rsidR="00F55A06" w:rsidRPr="00B71D90">
        <w:rPr>
          <w:rStyle w:val="BodyChar1"/>
        </w:rPr>
        <w:t xml:space="preserve"> </w:t>
      </w:r>
      <w:r w:rsidR="00F55A06" w:rsidRPr="00B71D90">
        <w:t>or call Customer Support at 888-275-7585.</w:t>
      </w:r>
    </w:p>
    <w:p w:rsidR="00355985" w:rsidRPr="00B71D90" w:rsidRDefault="00355985" w:rsidP="00B71D90">
      <w:pPr>
        <w:pStyle w:val="Bullet"/>
      </w:pPr>
      <w:r w:rsidRPr="00B71D90">
        <w:rPr>
          <w:szCs w:val="20"/>
        </w:rPr>
        <w:t>NCQA educational seminars provide v</w:t>
      </w:r>
      <w:r w:rsidRPr="00B71D90">
        <w:t xml:space="preserve">aluable information on NCQA standards and the survey </w:t>
      </w:r>
      <w:r w:rsidRPr="00B71D90">
        <w:br/>
        <w:t xml:space="preserve">process. Course offerings range from a basic introduction to HEDIS and NCQA standards to </w:t>
      </w:r>
      <w:r w:rsidRPr="00B71D90">
        <w:br/>
        <w:t xml:space="preserve">advanced techniques for quality improvement. For information about NCQA conferences, go to </w:t>
      </w:r>
      <w:r w:rsidRPr="00B71D90">
        <w:rPr>
          <w:rStyle w:val="Hyperlink"/>
          <w:color w:val="auto"/>
        </w:rPr>
        <w:t>web.ncqa.org/education</w:t>
      </w:r>
      <w:r w:rsidRPr="00B71D90">
        <w:t xml:space="preserve"> or call NCQA Customer Support at 888-275-7585.</w:t>
      </w:r>
    </w:p>
    <w:p w:rsidR="00355985" w:rsidRPr="00B71D90" w:rsidRDefault="00355985" w:rsidP="00355985">
      <w:pPr>
        <w:pStyle w:val="Bullet"/>
      </w:pPr>
      <w:r w:rsidRPr="00B71D90">
        <w:t xml:space="preserve">NCQA’s audit resources can be found at </w:t>
      </w:r>
      <w:r w:rsidRPr="00B71D90">
        <w:rPr>
          <w:rStyle w:val="Hyperlink"/>
          <w:color w:val="auto"/>
        </w:rPr>
        <w:t>web.ncqa.org/HEDIS</w:t>
      </w:r>
      <w:r w:rsidRPr="00B71D90">
        <w:rPr>
          <w:rStyle w:val="Hyperlink"/>
          <w:color w:val="auto"/>
          <w:sz w:val="24"/>
        </w:rPr>
        <w:t>_</w:t>
      </w:r>
      <w:r w:rsidRPr="00B71D90">
        <w:rPr>
          <w:rStyle w:val="Hyperlink"/>
          <w:color w:val="auto"/>
        </w:rPr>
        <w:t>audit.aspx</w:t>
      </w:r>
      <w:r w:rsidRPr="00B71D90">
        <w:t xml:space="preserve">, which includes links to the list of Organizations Licensed by NCQA to conduct HEDIS Compliance Audit and to contact information for NCQA’s Certified HEDIS Compliance Auditors. </w:t>
      </w:r>
    </w:p>
    <w:p w:rsidR="00006172" w:rsidRPr="00B71D90" w:rsidRDefault="00006172" w:rsidP="00B71D90">
      <w:pPr>
        <w:pStyle w:val="Body"/>
        <w:spacing w:before="0"/>
      </w:pPr>
    </w:p>
    <w:p w:rsidR="00355985" w:rsidRPr="00B71D90" w:rsidRDefault="00355985" w:rsidP="00B71D90">
      <w:pPr>
        <w:pStyle w:val="Body"/>
        <w:spacing w:before="0"/>
      </w:pPr>
    </w:p>
    <w:p w:rsidR="00355985" w:rsidRPr="00B71D90" w:rsidRDefault="00355985" w:rsidP="00B71D90">
      <w:pPr>
        <w:pStyle w:val="Body"/>
        <w:spacing w:before="0"/>
      </w:pPr>
    </w:p>
    <w:p w:rsidR="00355985" w:rsidRPr="00B71D90" w:rsidRDefault="00355985" w:rsidP="00B71D90">
      <w:pPr>
        <w:pStyle w:val="Body"/>
        <w:spacing w:before="0"/>
      </w:pPr>
    </w:p>
    <w:p w:rsidR="00006172" w:rsidRPr="00B71D90" w:rsidRDefault="00006172" w:rsidP="00006172">
      <w:r w:rsidRPr="00B71D90">
        <w:t>_____________</w:t>
      </w:r>
    </w:p>
    <w:p w:rsidR="00006172" w:rsidRPr="00B71D90" w:rsidRDefault="00BA371E" w:rsidP="00006172">
      <w:pPr>
        <w:spacing w:before="120"/>
        <w:ind w:left="90" w:hanging="90"/>
        <w:rPr>
          <w:rFonts w:cs="Arial"/>
          <w:sz w:val="18"/>
          <w:szCs w:val="18"/>
        </w:rPr>
      </w:pPr>
      <w:r>
        <w:rPr>
          <w:rFonts w:cs="Arial"/>
          <w:bCs/>
          <w:sz w:val="18"/>
          <w:szCs w:val="18"/>
          <w:vertAlign w:val="superscript"/>
        </w:rPr>
        <w:t>2</w:t>
      </w:r>
      <w:r w:rsidR="00E04622">
        <w:rPr>
          <w:rFonts w:cs="Arial"/>
          <w:bCs/>
          <w:sz w:val="18"/>
          <w:szCs w:val="18"/>
          <w:vertAlign w:val="superscript"/>
        </w:rPr>
        <w:tab/>
      </w:r>
      <w:r w:rsidR="00006172" w:rsidRPr="00B71D90">
        <w:rPr>
          <w:rFonts w:cs="Arial"/>
          <w:bCs/>
          <w:sz w:val="18"/>
          <w:szCs w:val="18"/>
        </w:rPr>
        <w:t>CPT codes copyright 201</w:t>
      </w:r>
      <w:r w:rsidR="000A4C4C">
        <w:rPr>
          <w:rFonts w:cs="Arial"/>
          <w:bCs/>
          <w:sz w:val="18"/>
          <w:szCs w:val="18"/>
        </w:rPr>
        <w:t>2</w:t>
      </w:r>
      <w:r w:rsidR="00006172" w:rsidRPr="00B71D90">
        <w:rPr>
          <w:rFonts w:cs="Arial"/>
          <w:bCs/>
          <w:sz w:val="18"/>
          <w:szCs w:val="18"/>
        </w:rPr>
        <w:t xml:space="preserve"> American Medical Association. All Rights Reserved. CPT is a trademark of the AMA. No fee schedules, basic units, relative values or related listings are included in CPT. The AMA assumes no liability for the data contained herein. Applicable FARS/DFARS restrictions apply to government use</w:t>
      </w:r>
      <w:r w:rsidR="00006172" w:rsidRPr="00B71D90">
        <w:rPr>
          <w:rFonts w:cs="Arial"/>
          <w:sz w:val="18"/>
          <w:szCs w:val="18"/>
        </w:rPr>
        <w:t>.</w:t>
      </w:r>
    </w:p>
    <w:p w:rsidR="00006172" w:rsidRPr="00B71D90" w:rsidRDefault="00BA371E" w:rsidP="00006172">
      <w:pPr>
        <w:ind w:left="86" w:hanging="86"/>
        <w:rPr>
          <w:sz w:val="18"/>
          <w:szCs w:val="18"/>
        </w:rPr>
        <w:sectPr w:rsidR="00006172" w:rsidRPr="00B71D90" w:rsidSect="00D73C65">
          <w:headerReference w:type="even" r:id="rId38"/>
          <w:headerReference w:type="default" r:id="rId39"/>
          <w:footerReference w:type="even" r:id="rId40"/>
          <w:footerReference w:type="default" r:id="rId41"/>
          <w:headerReference w:type="first" r:id="rId42"/>
          <w:footerReference w:type="first" r:id="rId43"/>
          <w:footnotePr>
            <w:numStart w:val="2"/>
          </w:footnotePr>
          <w:pgSz w:w="12240" w:h="15840" w:code="1"/>
          <w:pgMar w:top="1080" w:right="1080" w:bottom="1080" w:left="1440" w:header="720" w:footer="720" w:gutter="0"/>
          <w:pgNumType w:start="1"/>
          <w:cols w:space="720"/>
        </w:sectPr>
      </w:pPr>
      <w:r>
        <w:rPr>
          <w:rFonts w:cs="Arial"/>
          <w:bCs/>
          <w:sz w:val="18"/>
          <w:szCs w:val="18"/>
          <w:vertAlign w:val="superscript"/>
        </w:rPr>
        <w:t>3</w:t>
      </w:r>
      <w:r w:rsidR="00006172" w:rsidRPr="00B71D90">
        <w:rPr>
          <w:rFonts w:cs="Arial"/>
          <w:bCs/>
          <w:sz w:val="18"/>
          <w:szCs w:val="18"/>
          <w:vertAlign w:val="superscript"/>
        </w:rPr>
        <w:tab/>
      </w:r>
      <w:r w:rsidR="00006172" w:rsidRPr="00B71D90">
        <w:rPr>
          <w:sz w:val="18"/>
          <w:szCs w:val="18"/>
        </w:rPr>
        <w:t>LOINC</w:t>
      </w:r>
      <w:r w:rsidR="00006172" w:rsidRPr="00B71D90">
        <w:rPr>
          <w:sz w:val="18"/>
          <w:szCs w:val="18"/>
          <w:vertAlign w:val="superscript"/>
        </w:rPr>
        <w:t>®</w:t>
      </w:r>
      <w:r w:rsidR="00006172" w:rsidRPr="00B71D90">
        <w:rPr>
          <w:sz w:val="18"/>
          <w:szCs w:val="18"/>
        </w:rPr>
        <w:t xml:space="preserve"> is a registered trademark of the Regenstrief Institute.</w:t>
      </w:r>
    </w:p>
    <w:bookmarkEnd w:id="0"/>
    <w:bookmarkEnd w:id="1"/>
    <w:bookmarkEnd w:id="2"/>
    <w:bookmarkEnd w:id="3"/>
    <w:bookmarkEnd w:id="4"/>
    <w:bookmarkEnd w:id="5"/>
    <w:bookmarkEnd w:id="6"/>
    <w:bookmarkEnd w:id="7"/>
    <w:bookmarkEnd w:id="8"/>
    <w:bookmarkEnd w:id="9"/>
    <w:bookmarkEnd w:id="10"/>
    <w:bookmarkEnd w:id="11"/>
    <w:bookmarkEnd w:id="12"/>
    <w:bookmarkEnd w:id="25"/>
    <w:p w:rsidR="00E315EC" w:rsidRDefault="00E315EC" w:rsidP="00E315EC">
      <w:pPr>
        <w:sectPr w:rsidR="00E315EC" w:rsidSect="00550D6B">
          <w:headerReference w:type="even" r:id="rId44"/>
          <w:headerReference w:type="default" r:id="rId45"/>
          <w:footerReference w:type="default" r:id="rId46"/>
          <w:footnotePr>
            <w:numStart w:val="2"/>
          </w:footnotePr>
          <w:pgSz w:w="12240" w:h="15840" w:code="1"/>
          <w:pgMar w:top="1080" w:right="1080" w:bottom="1080" w:left="1440" w:header="720" w:footer="720" w:gutter="0"/>
          <w:cols w:space="720"/>
        </w:sectPr>
      </w:pPr>
    </w:p>
    <w:p w:rsidR="00803967" w:rsidRPr="00B71D90" w:rsidRDefault="00803967" w:rsidP="00B71D90">
      <w:pPr>
        <w:pStyle w:val="Breakpage"/>
      </w:pPr>
    </w:p>
    <w:p w:rsidR="00C0348F" w:rsidRPr="00B71D90" w:rsidRDefault="00C0348F" w:rsidP="00B71D90">
      <w:pPr>
        <w:pStyle w:val="Breakpage"/>
      </w:pPr>
    </w:p>
    <w:p w:rsidR="00C0348F" w:rsidRPr="00B71D90" w:rsidRDefault="00C0348F" w:rsidP="00B71D90">
      <w:pPr>
        <w:pStyle w:val="Breakpage"/>
      </w:pPr>
    </w:p>
    <w:p w:rsidR="00C0348F" w:rsidRPr="00B71D90" w:rsidRDefault="00C0348F" w:rsidP="00B71D90">
      <w:pPr>
        <w:pStyle w:val="Breakpage"/>
      </w:pPr>
    </w:p>
    <w:p w:rsidR="00C0348F" w:rsidRPr="00B71D90" w:rsidRDefault="00C0348F" w:rsidP="00B71D90">
      <w:pPr>
        <w:pStyle w:val="Breakpage"/>
      </w:pPr>
    </w:p>
    <w:p w:rsidR="00803967" w:rsidRPr="00B71D90" w:rsidRDefault="00803967" w:rsidP="00B71D90">
      <w:pPr>
        <w:pStyle w:val="Breakpage"/>
      </w:pPr>
      <w:r w:rsidRPr="00B71D90">
        <w:t>Introduction</w:t>
      </w:r>
    </w:p>
    <w:p w:rsidR="00803967" w:rsidRPr="00B71D90" w:rsidRDefault="00803967" w:rsidP="00B71D90">
      <w:pPr>
        <w:pStyle w:val="Breakpage"/>
      </w:pPr>
    </w:p>
    <w:p w:rsidR="00914316" w:rsidRPr="00B71D90" w:rsidRDefault="00914316" w:rsidP="00B71D90">
      <w:pPr>
        <w:pStyle w:val="Breakpage"/>
        <w:rPr>
          <w:sz w:val="40"/>
        </w:rPr>
        <w:sectPr w:rsidR="00914316" w:rsidRPr="00B71D90" w:rsidSect="00550D6B">
          <w:footnotePr>
            <w:numStart w:val="2"/>
          </w:footnotePr>
          <w:pgSz w:w="12240" w:h="15840" w:code="1"/>
          <w:pgMar w:top="1080" w:right="1080" w:bottom="1080" w:left="1440" w:header="720" w:footer="720" w:gutter="0"/>
          <w:cols w:space="720"/>
        </w:sectPr>
      </w:pPr>
    </w:p>
    <w:p w:rsidR="00803967" w:rsidRPr="00B71D90" w:rsidRDefault="00803967" w:rsidP="003D6000">
      <w:pPr>
        <w:sectPr w:rsidR="00803967" w:rsidRPr="00B71D90" w:rsidSect="00550D6B">
          <w:headerReference w:type="even" r:id="rId47"/>
          <w:footnotePr>
            <w:numStart w:val="2"/>
          </w:footnotePr>
          <w:pgSz w:w="12240" w:h="15840" w:code="1"/>
          <w:pgMar w:top="1080" w:right="1080" w:bottom="1080" w:left="1440" w:header="720" w:footer="720" w:gutter="0"/>
          <w:cols w:space="720"/>
        </w:sectPr>
      </w:pPr>
    </w:p>
    <w:p w:rsidR="00803967" w:rsidRPr="00B71D90" w:rsidRDefault="00803967">
      <w:pPr>
        <w:pStyle w:val="SectionHead"/>
        <w:spacing w:after="0"/>
      </w:pPr>
      <w:r w:rsidRPr="00B71D90">
        <w:lastRenderedPageBreak/>
        <w:t>Introduction</w:t>
      </w:r>
    </w:p>
    <w:p w:rsidR="00803967" w:rsidRPr="00B71D90" w:rsidRDefault="00803967">
      <w:pPr>
        <w:pStyle w:val="StdHead"/>
        <w:pBdr>
          <w:right w:val="single" w:sz="6" w:space="0" w:color="auto"/>
        </w:pBdr>
        <w:rPr>
          <w:color w:val="auto"/>
        </w:rPr>
      </w:pPr>
      <w:r w:rsidRPr="00B71D90">
        <w:rPr>
          <w:color w:val="auto"/>
        </w:rPr>
        <w:t xml:space="preserve">Background </w:t>
      </w:r>
    </w:p>
    <w:p w:rsidR="00597790" w:rsidRPr="00B71D90" w:rsidRDefault="00597790">
      <w:pPr>
        <w:pStyle w:val="Body"/>
      </w:pPr>
      <w:r w:rsidRPr="00B71D90">
        <w:t xml:space="preserve">In 1992, NCQA assumed responsibility for managing the evolution of HEDIS, a standardized set of performance measures used by purchasers and consumers to compare the quality of care rendered by </w:t>
      </w:r>
      <w:r w:rsidR="006A4760" w:rsidRPr="00B71D90">
        <w:t>organization</w:t>
      </w:r>
      <w:r w:rsidRPr="00B71D90">
        <w:t xml:space="preserve">s. As HEDIS became more widely used, </w:t>
      </w:r>
      <w:r w:rsidR="006E6FA6" w:rsidRPr="00B71D90">
        <w:t>it became apparent</w:t>
      </w:r>
      <w:r w:rsidRPr="00B71D90">
        <w:t xml:space="preserve"> that </w:t>
      </w:r>
      <w:r w:rsidR="006A4760" w:rsidRPr="00B71D90">
        <w:t>organization</w:t>
      </w:r>
      <w:r w:rsidRPr="00B71D90">
        <w:t xml:space="preserve">s were implementing the </w:t>
      </w:r>
      <w:r w:rsidR="006E6FA6" w:rsidRPr="00B71D90">
        <w:t xml:space="preserve">measure </w:t>
      </w:r>
      <w:r w:rsidRPr="00B71D90">
        <w:t xml:space="preserve">specifications differently. </w:t>
      </w:r>
      <w:r w:rsidR="00070017" w:rsidRPr="00B71D90">
        <w:t>Concerned that these variations could affect data comparability, p</w:t>
      </w:r>
      <w:r w:rsidR="006E6FA6" w:rsidRPr="00B71D90">
        <w:t>urchasers began to require audits of HEDIS data.</w:t>
      </w:r>
      <w:r w:rsidRPr="00B71D90">
        <w:t xml:space="preserve"> Eventually, purchasers and external regulators required multiple audits that varied in requirements and results. </w:t>
      </w:r>
    </w:p>
    <w:p w:rsidR="00597790" w:rsidRPr="00B71D90" w:rsidRDefault="00597790">
      <w:pPr>
        <w:pStyle w:val="Body"/>
      </w:pPr>
      <w:r w:rsidRPr="00B71D90">
        <w:t xml:space="preserve">In 1995, NCQA created a standardized audit for HEDIS data to ensure the credibility of results for public reporting and reduce </w:t>
      </w:r>
      <w:r w:rsidR="006A4760" w:rsidRPr="00B71D90">
        <w:t>organization</w:t>
      </w:r>
      <w:r w:rsidRPr="00B71D90">
        <w:t xml:space="preserve"> burden by eliminating the need for multiple audits to satisfy different purchasers. To develop a standardized audit, NCQA convened a focus group that included public and </w:t>
      </w:r>
      <w:r w:rsidR="00454266" w:rsidRPr="00B71D90">
        <w:br/>
      </w:r>
      <w:r w:rsidRPr="00B71D90">
        <w:t xml:space="preserve">private purchasers, regulators, </w:t>
      </w:r>
      <w:r w:rsidR="006A4760" w:rsidRPr="00B71D90">
        <w:t>organization</w:t>
      </w:r>
      <w:r w:rsidRPr="00B71D90">
        <w:t xml:space="preserve">s, consultants and audit experts. </w:t>
      </w:r>
    </w:p>
    <w:p w:rsidR="00597790" w:rsidRPr="00B71D90" w:rsidRDefault="00597790">
      <w:pPr>
        <w:pStyle w:val="Body"/>
      </w:pPr>
      <w:r w:rsidRPr="00B71D90">
        <w:t xml:space="preserve">In 1997, NCQA released the </w:t>
      </w:r>
      <w:r w:rsidRPr="00B71D90">
        <w:rPr>
          <w:i/>
        </w:rPr>
        <w:t>HEDIS Compliance Audit Standards and Guidelines</w:t>
      </w:r>
      <w:r w:rsidRPr="00B71D90">
        <w:t xml:space="preserve">. The audit standards allow auditors to validate the accuracy and reliability of HEDIS data by thoroughly assessing </w:t>
      </w:r>
      <w:r w:rsidR="00221D7E" w:rsidRPr="00B71D90">
        <w:t xml:space="preserve">an </w:t>
      </w:r>
      <w:r w:rsidR="006A4760" w:rsidRPr="00B71D90">
        <w:t>organization</w:t>
      </w:r>
      <w:r w:rsidR="00221D7E" w:rsidRPr="00B71D90">
        <w:t>’s</w:t>
      </w:r>
      <w:r w:rsidRPr="00B71D90">
        <w:t xml:space="preserve"> information systems</w:t>
      </w:r>
      <w:r w:rsidR="00221D7E" w:rsidRPr="00B71D90">
        <w:t xml:space="preserve"> and </w:t>
      </w:r>
      <w:r w:rsidRPr="00B71D90">
        <w:t xml:space="preserve">the accuracy and reliability of </w:t>
      </w:r>
      <w:r w:rsidR="00221D7E" w:rsidRPr="00B71D90">
        <w:t xml:space="preserve">its </w:t>
      </w:r>
      <w:r w:rsidRPr="00B71D90">
        <w:t xml:space="preserve">reported HEDIS data. </w:t>
      </w:r>
    </w:p>
    <w:p w:rsidR="00597790" w:rsidRPr="00B71D90" w:rsidRDefault="00597790">
      <w:pPr>
        <w:pStyle w:val="Body"/>
      </w:pPr>
      <w:r w:rsidRPr="00B71D90">
        <w:t>In 2006</w:t>
      </w:r>
      <w:r w:rsidR="0016703A" w:rsidRPr="00B71D90">
        <w:t xml:space="preserve"> and 2008</w:t>
      </w:r>
      <w:r w:rsidRPr="00B71D90">
        <w:t>, NCQA convened group</w:t>
      </w:r>
      <w:r w:rsidR="0016703A" w:rsidRPr="00B71D90">
        <w:t>s</w:t>
      </w:r>
      <w:r w:rsidRPr="00B71D90">
        <w:t xml:space="preserve"> of auditors and </w:t>
      </w:r>
      <w:r w:rsidR="006A4760" w:rsidRPr="00B71D90">
        <w:t>organization</w:t>
      </w:r>
      <w:r w:rsidRPr="00B71D90">
        <w:t xml:space="preserve"> representatives to assess specific activities related to changes in health care. The result</w:t>
      </w:r>
      <w:r w:rsidR="0016703A" w:rsidRPr="00B71D90">
        <w:t>s</w:t>
      </w:r>
      <w:r w:rsidRPr="00B71D90">
        <w:t xml:space="preserve"> w</w:t>
      </w:r>
      <w:r w:rsidR="0016703A" w:rsidRPr="00B71D90">
        <w:t>ere</w:t>
      </w:r>
      <w:r w:rsidRPr="00B71D90">
        <w:t xml:space="preserve"> </w:t>
      </w:r>
      <w:r w:rsidR="00CB1C45" w:rsidRPr="00B71D90">
        <w:t xml:space="preserve">changes to </w:t>
      </w:r>
      <w:r w:rsidRPr="00B71D90">
        <w:t>significant audit activities</w:t>
      </w:r>
      <w:r w:rsidR="0016703A" w:rsidRPr="00B71D90">
        <w:t xml:space="preserve"> and a new organization questionnaire</w:t>
      </w:r>
      <w:r w:rsidRPr="00B71D90">
        <w:t xml:space="preserve">. </w:t>
      </w:r>
    </w:p>
    <w:p w:rsidR="00181210" w:rsidRPr="00B71D90" w:rsidRDefault="00181210" w:rsidP="0032361E">
      <w:pPr>
        <w:pStyle w:val="Body"/>
      </w:pPr>
      <w:r w:rsidRPr="00B71D90">
        <w:t xml:space="preserve">In </w:t>
      </w:r>
      <w:r w:rsidR="00A93755" w:rsidRPr="00B71D90">
        <w:t>2010</w:t>
      </w:r>
      <w:r w:rsidR="005C11D2" w:rsidRPr="00B71D90">
        <w:t xml:space="preserve"> and 2011</w:t>
      </w:r>
      <w:r w:rsidRPr="00B71D90">
        <w:t xml:space="preserve">, NCQA expanded the Audit program to </w:t>
      </w:r>
      <w:r w:rsidR="00776156" w:rsidRPr="00B71D90">
        <w:t xml:space="preserve">include </w:t>
      </w:r>
      <w:r w:rsidRPr="00B71D90">
        <w:t>assess</w:t>
      </w:r>
      <w:r w:rsidR="00776156" w:rsidRPr="00B71D90">
        <w:t>ing</w:t>
      </w:r>
      <w:r w:rsidRPr="00B71D90">
        <w:t xml:space="preserve"> the collection of measures </w:t>
      </w:r>
      <w:r w:rsidR="00A93755" w:rsidRPr="00B71D90">
        <w:t xml:space="preserve">for </w:t>
      </w:r>
      <w:r w:rsidR="005C7ECF" w:rsidRPr="00B71D90">
        <w:t>its</w:t>
      </w:r>
      <w:r w:rsidR="00A93755" w:rsidRPr="00B71D90">
        <w:t xml:space="preserve"> </w:t>
      </w:r>
      <w:r w:rsidR="005C7ECF" w:rsidRPr="00B71D90">
        <w:t xml:space="preserve">WHP </w:t>
      </w:r>
      <w:r w:rsidR="005C11D2" w:rsidRPr="00B71D90">
        <w:t xml:space="preserve">and </w:t>
      </w:r>
      <w:r w:rsidR="008F7A2C" w:rsidRPr="00B71D90">
        <w:t xml:space="preserve">DM </w:t>
      </w:r>
      <w:r w:rsidR="00B71D90">
        <w:t>p</w:t>
      </w:r>
      <w:r w:rsidR="00DE7BB6" w:rsidRPr="00B71D90">
        <w:t>rograms.</w:t>
      </w:r>
    </w:p>
    <w:p w:rsidR="000827E7" w:rsidRDefault="00053100">
      <w:pPr>
        <w:pStyle w:val="Body"/>
      </w:pPr>
      <w:r>
        <w:t>For</w:t>
      </w:r>
      <w:r w:rsidR="000827E7">
        <w:t xml:space="preserve"> 2013, NCQA adopted a new medical record review validation (MRRV)</w:t>
      </w:r>
      <w:r>
        <w:t xml:space="preserve"> process</w:t>
      </w:r>
      <w:r w:rsidR="000827E7">
        <w:t xml:space="preserve">. The </w:t>
      </w:r>
      <w:r w:rsidR="00CB1444">
        <w:t xml:space="preserve">statistical </w:t>
      </w:r>
      <w:r w:rsidR="000827E7">
        <w:t xml:space="preserve">test used to determine bias in the medical record review process changed, as did the timeline for medical record abstraction. </w:t>
      </w:r>
    </w:p>
    <w:p w:rsidR="00597790" w:rsidRPr="00B71D90" w:rsidRDefault="00F9565A">
      <w:pPr>
        <w:pStyle w:val="Body"/>
      </w:pPr>
      <w:r w:rsidRPr="00B71D90">
        <w:t xml:space="preserve">Today, HEDIS is the standard for assessing organization performance—almost 90 percent of all organizations collect and report HEDIS results. </w:t>
      </w:r>
      <w:r w:rsidR="00597790" w:rsidRPr="00B71D90">
        <w:t xml:space="preserve">The HEDIS Compliance Audit includes standards for assessing </w:t>
      </w:r>
      <w:r w:rsidR="006A4760" w:rsidRPr="00B71D90">
        <w:t>organization</w:t>
      </w:r>
      <w:r w:rsidR="00597790" w:rsidRPr="00B71D90">
        <w:t xml:space="preserve"> information system characteristics and capabilities and specification compliance for each measure. </w:t>
      </w:r>
      <w:r w:rsidR="005C7ECF" w:rsidRPr="00B71D90">
        <w:t>It has evolved to become an important strategic component of HEDIS and accreditation. Since 2000, NCQA has used only audited HEDIS data for its information products, including</w:t>
      </w:r>
      <w:r w:rsidR="00C87F34" w:rsidRPr="00C87F34">
        <w:rPr>
          <w:i/>
        </w:rPr>
        <w:t xml:space="preserve"> </w:t>
      </w:r>
      <w:r w:rsidR="00C87F34" w:rsidRPr="00B71D90">
        <w:rPr>
          <w:i/>
        </w:rPr>
        <w:t>Quality Compass</w:t>
      </w:r>
      <w:r w:rsidR="00C87F34" w:rsidRPr="00B71D90">
        <w:rPr>
          <w:i/>
          <w:vertAlign w:val="superscript"/>
        </w:rPr>
        <w:t>®</w:t>
      </w:r>
      <w:r w:rsidR="005C7ECF" w:rsidRPr="008A7777">
        <w:t xml:space="preserve"> </w:t>
      </w:r>
      <w:r w:rsidR="005C7ECF" w:rsidRPr="00B71D90">
        <w:t xml:space="preserve">and the </w:t>
      </w:r>
      <w:r w:rsidR="005C7ECF" w:rsidRPr="00B71D90">
        <w:rPr>
          <w:i/>
        </w:rPr>
        <w:t>State of Health Care Quality</w:t>
      </w:r>
      <w:r w:rsidR="005C7ECF" w:rsidRPr="00B71D90">
        <w:t xml:space="preserve"> Report. NCQA Accreditation requires organization</w:t>
      </w:r>
      <w:r w:rsidRPr="00B71D90">
        <w:t>s</w:t>
      </w:r>
      <w:r w:rsidR="005C7ECF" w:rsidRPr="00B71D90">
        <w:t xml:space="preserve"> to submit audited </w:t>
      </w:r>
      <w:r w:rsidR="00DE7BB6" w:rsidRPr="00B71D90">
        <w:t xml:space="preserve">performance measure </w:t>
      </w:r>
      <w:r w:rsidR="005C7ECF" w:rsidRPr="00B71D90">
        <w:t xml:space="preserve">data annually, which further strengthens the HEDIS Audit and its role in ensuring accurate and reliable data for </w:t>
      </w:r>
      <w:r w:rsidR="00DE7BB6" w:rsidRPr="00B71D90">
        <w:t>organization</w:t>
      </w:r>
      <w:r w:rsidR="005C7ECF" w:rsidRPr="00B71D90">
        <w:t>-to-</w:t>
      </w:r>
      <w:r w:rsidR="00DE7BB6" w:rsidRPr="00B71D90">
        <w:t xml:space="preserve">organization </w:t>
      </w:r>
      <w:r w:rsidR="005C7ECF" w:rsidRPr="00B71D90">
        <w:t>comparison.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15"/>
        <w:gridCol w:w="7985"/>
      </w:tblGrid>
      <w:tr w:rsidR="00803967" w:rsidRPr="00B71D90">
        <w:tc>
          <w:tcPr>
            <w:tcW w:w="1915" w:type="dxa"/>
            <w:tcBorders>
              <w:top w:val="nil"/>
              <w:left w:val="nil"/>
              <w:bottom w:val="nil"/>
              <w:right w:val="nil"/>
            </w:tcBorders>
            <w:tcMar>
              <w:left w:w="115" w:type="dxa"/>
              <w:right w:w="115" w:type="dxa"/>
            </w:tcMar>
          </w:tcPr>
          <w:p w:rsidR="00803967" w:rsidRPr="00B71D90" w:rsidRDefault="00803967">
            <w:pPr>
              <w:pStyle w:val="MarginSubhead"/>
            </w:pPr>
            <w:r w:rsidRPr="00B71D90">
              <w:t>HEDIS Audit</w:t>
            </w:r>
            <w:r w:rsidR="00597790" w:rsidRPr="00B71D90">
              <w:t xml:space="preserve"> principles</w:t>
            </w:r>
          </w:p>
        </w:tc>
        <w:tc>
          <w:tcPr>
            <w:tcW w:w="7985" w:type="dxa"/>
            <w:tcBorders>
              <w:top w:val="nil"/>
              <w:left w:val="nil"/>
              <w:bottom w:val="nil"/>
              <w:right w:val="nil"/>
            </w:tcBorders>
            <w:tcMar>
              <w:left w:w="115" w:type="dxa"/>
              <w:right w:w="115" w:type="dxa"/>
            </w:tcMar>
          </w:tcPr>
          <w:p w:rsidR="00803967" w:rsidRPr="00B71D90" w:rsidRDefault="004006E3" w:rsidP="00CB1C45">
            <w:pPr>
              <w:pStyle w:val="ProcessBullet"/>
              <w:spacing w:before="180"/>
            </w:pPr>
            <w:r w:rsidRPr="00B71D90">
              <w:t>T</w:t>
            </w:r>
            <w:r w:rsidR="00803967" w:rsidRPr="00B71D90">
              <w:t xml:space="preserve">he HEDIS Audit verifies that </w:t>
            </w:r>
            <w:r w:rsidR="00CC2CE6" w:rsidRPr="00B71D90">
              <w:t xml:space="preserve">the </w:t>
            </w:r>
            <w:r w:rsidR="006A4760" w:rsidRPr="00B71D90">
              <w:t>organization</w:t>
            </w:r>
            <w:r w:rsidR="00803967" w:rsidRPr="00B71D90">
              <w:t xml:space="preserve">’s </w:t>
            </w:r>
            <w:r w:rsidR="00DE7BB6" w:rsidRPr="00B71D90">
              <w:t xml:space="preserve">measure </w:t>
            </w:r>
            <w:r w:rsidR="00803967" w:rsidRPr="00B71D90">
              <w:t>production processes conform to the technical specifications</w:t>
            </w:r>
            <w:r w:rsidR="00485CB9" w:rsidRPr="00B71D90">
              <w:t>.</w:t>
            </w:r>
          </w:p>
          <w:p w:rsidR="00803967" w:rsidRPr="00B71D90" w:rsidRDefault="004006E3" w:rsidP="003D6000">
            <w:pPr>
              <w:pStyle w:val="ProcessBullet"/>
            </w:pPr>
            <w:r w:rsidRPr="00B71D90">
              <w:t>T</w:t>
            </w:r>
            <w:r w:rsidR="00803967" w:rsidRPr="00B71D90">
              <w:t xml:space="preserve">he HEDIS Audit measures </w:t>
            </w:r>
            <w:r w:rsidR="00CC2CE6" w:rsidRPr="00B71D90">
              <w:t>the</w:t>
            </w:r>
            <w:r w:rsidR="00803967" w:rsidRPr="00B71D90">
              <w:t xml:space="preserve"> </w:t>
            </w:r>
            <w:r w:rsidR="006A4760" w:rsidRPr="00B71D90">
              <w:t>organization</w:t>
            </w:r>
            <w:r w:rsidR="00803967" w:rsidRPr="00B71D90">
              <w:t xml:space="preserve">’s information system capabilities and evaluates its ability to process medical, member and practitioner information </w:t>
            </w:r>
            <w:r w:rsidR="00C675AD" w:rsidRPr="00B71D90">
              <w:t>and</w:t>
            </w:r>
            <w:r w:rsidR="00803967" w:rsidRPr="00B71D90">
              <w:t xml:space="preserve"> accurately report data</w:t>
            </w:r>
            <w:r w:rsidR="00485CB9" w:rsidRPr="00B71D90">
              <w:t>.</w:t>
            </w:r>
          </w:p>
          <w:p w:rsidR="00803967" w:rsidRPr="00B71D90" w:rsidRDefault="004006E3" w:rsidP="003D6000">
            <w:pPr>
              <w:pStyle w:val="ProcessBullet"/>
            </w:pPr>
            <w:r w:rsidRPr="00B71D90">
              <w:t>T</w:t>
            </w:r>
            <w:r w:rsidR="00803967" w:rsidRPr="00B71D90">
              <w:t xml:space="preserve">he results of a detailed </w:t>
            </w:r>
            <w:r w:rsidR="00992FA2" w:rsidRPr="00B71D90">
              <w:t xml:space="preserve">source code </w:t>
            </w:r>
            <w:r w:rsidR="00803967" w:rsidRPr="00B71D90">
              <w:t>review of a carefully selected and expandable subset of measures (the core set) can be extrapolated to all measures</w:t>
            </w:r>
            <w:r w:rsidR="00485CB9" w:rsidRPr="00B71D90">
              <w:t>.</w:t>
            </w:r>
          </w:p>
          <w:p w:rsidR="004006E3" w:rsidRPr="00B71D90" w:rsidRDefault="004006E3" w:rsidP="003D6000">
            <w:pPr>
              <w:pStyle w:val="ProcessBullet"/>
            </w:pPr>
            <w:r w:rsidRPr="00B71D90">
              <w:t xml:space="preserve">The goal of the audit is accurate, reliable and publicly reportable data that can be used by purchasers and consumers to compare </w:t>
            </w:r>
            <w:r w:rsidR="006A4760" w:rsidRPr="00B71D90">
              <w:t>organization</w:t>
            </w:r>
            <w:r w:rsidRPr="00B71D90">
              <w:t>s</w:t>
            </w:r>
            <w:r w:rsidR="00485CB9" w:rsidRPr="00B71D90">
              <w:t>.</w:t>
            </w:r>
          </w:p>
          <w:p w:rsidR="00A93755" w:rsidRPr="00B71D90" w:rsidRDefault="004006E3" w:rsidP="00CB1C45">
            <w:pPr>
              <w:pStyle w:val="ProcessBullet"/>
            </w:pPr>
            <w:r w:rsidRPr="00B71D90">
              <w:t>The HEDIS Audit must be conducted by an NCQA Licensed Organization and a Certified HEDIS Compliance Auditor using NCQA’s standard audit methodology, ensuring consistency across audits.</w:t>
            </w:r>
          </w:p>
        </w:tc>
      </w:tr>
    </w:tbl>
    <w:p w:rsidR="008A7777" w:rsidRDefault="008A7777">
      <w:pPr>
        <w:sectPr w:rsidR="008A7777" w:rsidSect="00550D6B">
          <w:headerReference w:type="even" r:id="rId48"/>
          <w:headerReference w:type="default" r:id="rId49"/>
          <w:footerReference w:type="even" r:id="rId50"/>
          <w:footerReference w:type="default" r:id="rId51"/>
          <w:footnotePr>
            <w:numStart w:val="2"/>
          </w:footnotePr>
          <w:pgSz w:w="12240" w:h="15840" w:code="1"/>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15"/>
        <w:gridCol w:w="7985"/>
      </w:tblGrid>
      <w:tr w:rsidR="00F9565A" w:rsidRPr="00B71D90" w:rsidTr="00F9565A">
        <w:tc>
          <w:tcPr>
            <w:tcW w:w="1915" w:type="dxa"/>
            <w:tcBorders>
              <w:top w:val="nil"/>
              <w:left w:val="nil"/>
              <w:bottom w:val="nil"/>
              <w:right w:val="nil"/>
            </w:tcBorders>
            <w:tcMar>
              <w:left w:w="115" w:type="dxa"/>
              <w:right w:w="115" w:type="dxa"/>
            </w:tcMar>
          </w:tcPr>
          <w:p w:rsidR="00F9565A" w:rsidRPr="00B71D90" w:rsidRDefault="00F9565A" w:rsidP="008A7777">
            <w:pPr>
              <w:pStyle w:val="MarginSubhead"/>
              <w:spacing w:before="0"/>
            </w:pPr>
            <w:r w:rsidRPr="00B71D90">
              <w:lastRenderedPageBreak/>
              <w:t>Medicare audit requirements</w:t>
            </w:r>
          </w:p>
        </w:tc>
        <w:tc>
          <w:tcPr>
            <w:tcW w:w="7985" w:type="dxa"/>
            <w:tcBorders>
              <w:top w:val="nil"/>
              <w:left w:val="nil"/>
              <w:bottom w:val="nil"/>
              <w:right w:val="nil"/>
            </w:tcBorders>
            <w:tcMar>
              <w:left w:w="115" w:type="dxa"/>
              <w:right w:w="115" w:type="dxa"/>
            </w:tcMar>
          </w:tcPr>
          <w:p w:rsidR="005F1E57" w:rsidRPr="00B71D90" w:rsidRDefault="00F9565A" w:rsidP="008A7777">
            <w:pPr>
              <w:pStyle w:val="Body"/>
              <w:spacing w:before="0"/>
            </w:pPr>
            <w:r w:rsidRPr="00B71D90">
              <w:t>NCQA works with the Center for Medicare &amp; Medicaid Services (CMS) on the continuous improvement of the HEDIS Compliance Audit Program. CMS expects Certified Auditors to follow NCQA compliance audit standards and policies and procedures. CMS communicates directly with all of its contracted organizations and Licensed Organizations about additional Medicare audit requirements.</w:t>
            </w:r>
          </w:p>
        </w:tc>
      </w:tr>
    </w:tbl>
    <w:p w:rsidR="006E6FA6" w:rsidRPr="00B71D90" w:rsidRDefault="006E6FA6">
      <w:pPr>
        <w:sectPr w:rsidR="006E6FA6" w:rsidRPr="00B71D90" w:rsidSect="00550D6B">
          <w:footnotePr>
            <w:numStart w:val="2"/>
          </w:footnotePr>
          <w:pgSz w:w="12240" w:h="15840" w:code="1"/>
          <w:pgMar w:top="1080" w:right="1080" w:bottom="1080" w:left="1440" w:header="720" w:footer="720" w:gutter="0"/>
          <w:cols w:space="720"/>
        </w:sectPr>
      </w:pPr>
    </w:p>
    <w:p w:rsidR="00803967" w:rsidRPr="00B71D90" w:rsidRDefault="00803967">
      <w:pPr>
        <w:pStyle w:val="Heading2"/>
        <w:rPr>
          <w:i w:val="0"/>
          <w:iCs/>
          <w:sz w:val="32"/>
          <w:szCs w:val="32"/>
        </w:rPr>
      </w:pPr>
      <w:r w:rsidRPr="00B71D90">
        <w:rPr>
          <w:i w:val="0"/>
          <w:iCs/>
          <w:sz w:val="32"/>
          <w:szCs w:val="32"/>
        </w:rPr>
        <w:lastRenderedPageBreak/>
        <w:t>The Audit Process</w:t>
      </w:r>
    </w:p>
    <w:p w:rsidR="005F1E57" w:rsidRPr="00B71D90" w:rsidRDefault="00A93755" w:rsidP="005F1E57">
      <w:pPr>
        <w:pStyle w:val="Body"/>
        <w:spacing w:before="0"/>
      </w:pPr>
      <w:r w:rsidRPr="00B71D90">
        <w:t xml:space="preserve">NCQA </w:t>
      </w:r>
      <w:r w:rsidR="00D04B27" w:rsidRPr="00B71D90">
        <w:t>a</w:t>
      </w:r>
      <w:r w:rsidR="00803967" w:rsidRPr="00B71D90">
        <w:t xml:space="preserve">udits </w:t>
      </w:r>
      <w:r w:rsidR="005F0FCB" w:rsidRPr="00B71D90">
        <w:t xml:space="preserve">promote </w:t>
      </w:r>
      <w:r w:rsidR="00803967" w:rsidRPr="00B71D90">
        <w:t>accurate, reliable and publicly reportable data</w:t>
      </w:r>
      <w:r w:rsidR="0083095E" w:rsidRPr="00B71D90">
        <w:t xml:space="preserve">. </w:t>
      </w:r>
      <w:r w:rsidR="00207C16" w:rsidRPr="00B71D90">
        <w:t>We</w:t>
      </w:r>
      <w:r w:rsidR="00943E1F" w:rsidRPr="00B71D90">
        <w:t xml:space="preserve"> </w:t>
      </w:r>
      <w:r w:rsidR="00803967" w:rsidRPr="00B71D90">
        <w:t xml:space="preserve">encourage </w:t>
      </w:r>
      <w:r w:rsidR="006A4760" w:rsidRPr="00B71D90">
        <w:t>organization</w:t>
      </w:r>
      <w:r w:rsidR="005C7ECF" w:rsidRPr="00B71D90">
        <w:t>s</w:t>
      </w:r>
      <w:r w:rsidR="00803967" w:rsidRPr="00B71D90">
        <w:t xml:space="preserve"> to collect data simultaneously with the</w:t>
      </w:r>
      <w:r w:rsidR="005C7ECF" w:rsidRPr="00B71D90">
        <w:t>ir</w:t>
      </w:r>
      <w:r w:rsidR="00803967" w:rsidRPr="00B71D90">
        <w:t xml:space="preserve"> audit. A concurrent audit lets the auditor detect errors in </w:t>
      </w:r>
      <w:r w:rsidR="0083095E" w:rsidRPr="00B71D90">
        <w:t>the</w:t>
      </w:r>
      <w:r w:rsidR="00803967" w:rsidRPr="00B71D90">
        <w:t xml:space="preserve"> data collection process while there is time for </w:t>
      </w:r>
      <w:r w:rsidR="0083095E" w:rsidRPr="00B71D90">
        <w:t>the organization</w:t>
      </w:r>
      <w:r w:rsidR="00943E1F" w:rsidRPr="00B71D90">
        <w:t xml:space="preserve"> </w:t>
      </w:r>
      <w:r w:rsidR="00803967" w:rsidRPr="00B71D90">
        <w:t xml:space="preserve">to correct its methods and minimize the possibility of </w:t>
      </w:r>
      <w:r w:rsidR="00803967" w:rsidRPr="00B71D90">
        <w:rPr>
          <w:i/>
        </w:rPr>
        <w:t>Not Report</w:t>
      </w:r>
      <w:r w:rsidR="005713D5" w:rsidRPr="00B71D90">
        <w:rPr>
          <w:i/>
        </w:rPr>
        <w:t>able</w:t>
      </w:r>
      <w:r w:rsidR="00943E1F" w:rsidRPr="00B71D90">
        <w:rPr>
          <w:i/>
        </w:rPr>
        <w:t xml:space="preserve"> (NR)</w:t>
      </w:r>
      <w:r w:rsidR="00803967" w:rsidRPr="00B71D90">
        <w:rPr>
          <w:i/>
        </w:rPr>
        <w:t xml:space="preserve"> </w:t>
      </w:r>
      <w:r w:rsidR="005713D5" w:rsidRPr="00B71D90">
        <w:t>rates</w:t>
      </w:r>
      <w:r w:rsidR="00803967" w:rsidRPr="00B71D90">
        <w:t>.</w:t>
      </w:r>
      <w:r w:rsidR="00943E1F" w:rsidRPr="00B71D90">
        <w:t xml:space="preserve"> </w:t>
      </w:r>
      <w:r w:rsidR="00803967" w:rsidRPr="00B71D90">
        <w:t xml:space="preserve">While the </w:t>
      </w:r>
      <w:r w:rsidR="006A4760" w:rsidRPr="00B71D90">
        <w:t>organization</w:t>
      </w:r>
      <w:r w:rsidR="00803967" w:rsidRPr="00B71D90">
        <w:t xml:space="preserve"> collects </w:t>
      </w:r>
      <w:r w:rsidR="00DE7BB6" w:rsidRPr="00B71D90">
        <w:t>measure</w:t>
      </w:r>
      <w:r w:rsidR="00803967" w:rsidRPr="00B71D90">
        <w:t xml:space="preserve"> data, the audit team schedules and conducts the activities described below.</w:t>
      </w:r>
    </w:p>
    <w:p w:rsidR="00803967" w:rsidRPr="00B71D90" w:rsidRDefault="00803967" w:rsidP="00E92F65">
      <w:pPr>
        <w:pStyle w:val="StdHead"/>
        <w:rPr>
          <w:color w:val="auto"/>
        </w:rPr>
      </w:pPr>
      <w:r w:rsidRPr="00B71D90">
        <w:rPr>
          <w:color w:val="auto"/>
        </w:rPr>
        <w:t>Offsite Audit Process</w:t>
      </w:r>
    </w:p>
    <w:tbl>
      <w:tblPr>
        <w:tblW w:w="0" w:type="auto"/>
        <w:tblInd w:w="-72" w:type="dxa"/>
        <w:tblLayout w:type="fixed"/>
        <w:tblLook w:val="0000"/>
      </w:tblPr>
      <w:tblGrid>
        <w:gridCol w:w="2250"/>
        <w:gridCol w:w="7650"/>
      </w:tblGrid>
      <w:tr w:rsidR="00803967" w:rsidRPr="00B71D90" w:rsidTr="008E3992">
        <w:tc>
          <w:tcPr>
            <w:tcW w:w="2250" w:type="dxa"/>
          </w:tcPr>
          <w:p w:rsidR="00803967" w:rsidRPr="00B71D90" w:rsidRDefault="00803967">
            <w:pPr>
              <w:pStyle w:val="MarginSubhead"/>
            </w:pPr>
            <w:r w:rsidRPr="00B71D90">
              <w:t xml:space="preserve">The </w:t>
            </w:r>
            <w:r w:rsidR="005D5CDE" w:rsidRPr="00B71D90">
              <w:t>Roadmap</w:t>
            </w:r>
          </w:p>
        </w:tc>
        <w:tc>
          <w:tcPr>
            <w:tcW w:w="7650" w:type="dxa"/>
          </w:tcPr>
          <w:p w:rsidR="00803967" w:rsidRPr="00B71D90" w:rsidRDefault="00803967" w:rsidP="00C96563">
            <w:pPr>
              <w:pStyle w:val="Body"/>
            </w:pPr>
            <w:r w:rsidRPr="00B71D90">
              <w:t>The HEDIS Audit begins when</w:t>
            </w:r>
            <w:r w:rsidR="00A149D6" w:rsidRPr="00B71D90">
              <w:t xml:space="preserve"> an</w:t>
            </w:r>
            <w:r w:rsidRPr="00B71D90">
              <w:t xml:space="preserve"> </w:t>
            </w:r>
            <w:r w:rsidR="006A4760" w:rsidRPr="00B71D90">
              <w:t>organization</w:t>
            </w:r>
            <w:r w:rsidRPr="00B71D90">
              <w:t xml:space="preserve"> completes </w:t>
            </w:r>
            <w:r w:rsidR="00D53B16" w:rsidRPr="00B71D90">
              <w:t xml:space="preserve">or updates </w:t>
            </w:r>
            <w:r w:rsidRPr="00B71D90">
              <w:t xml:space="preserve">the </w:t>
            </w:r>
            <w:r w:rsidR="00A149D6" w:rsidRPr="00B71D90">
              <w:t>Roadmap</w:t>
            </w:r>
            <w:r w:rsidR="00E17376" w:rsidRPr="00B71D90">
              <w:t xml:space="preserve">, which it uses to record information about </w:t>
            </w:r>
            <w:r w:rsidRPr="00B71D90">
              <w:t>its data systems and data reporting structure and processes.</w:t>
            </w:r>
            <w:r w:rsidR="008354C6" w:rsidRPr="00B71D90">
              <w:t xml:space="preserve"> </w:t>
            </w:r>
            <w:r w:rsidR="006340B2" w:rsidRPr="00B71D90">
              <w:t>Refer to</w:t>
            </w:r>
            <w:r w:rsidR="008354C6" w:rsidRPr="00B71D90">
              <w:t xml:space="preserve"> </w:t>
            </w:r>
            <w:r w:rsidR="008354C6" w:rsidRPr="00B71D90">
              <w:rPr>
                <w:i/>
              </w:rPr>
              <w:t xml:space="preserve">Appendix 2: </w:t>
            </w:r>
            <w:r w:rsidR="005D5CDE" w:rsidRPr="00B71D90">
              <w:rPr>
                <w:i/>
              </w:rPr>
              <w:t>HEDIS Roadmap</w:t>
            </w:r>
            <w:r w:rsidR="00C1737C" w:rsidRPr="00B71D90">
              <w:rPr>
                <w:i/>
              </w:rPr>
              <w:t xml:space="preserve"> </w:t>
            </w:r>
            <w:r w:rsidR="00C1737C" w:rsidRPr="00B71D90">
              <w:t>and</w:t>
            </w:r>
            <w:r w:rsidR="00C1737C" w:rsidRPr="00B71D90">
              <w:rPr>
                <w:i/>
              </w:rPr>
              <w:t xml:space="preserve"> Appendix 3: WHP Roadmap</w:t>
            </w:r>
            <w:r w:rsidR="008354C6" w:rsidRPr="00B71D90">
              <w:t>.</w:t>
            </w:r>
            <w:r w:rsidR="009456DC" w:rsidRPr="00B71D90">
              <w:t xml:space="preserve"> </w:t>
            </w:r>
            <w:r w:rsidR="00280886" w:rsidRPr="00B71D90">
              <w:t xml:space="preserve">Electronic copies </w:t>
            </w:r>
            <w:r w:rsidR="00570C64" w:rsidRPr="00B71D90">
              <w:t xml:space="preserve">of the Roadmap </w:t>
            </w:r>
            <w:r w:rsidR="00280886" w:rsidRPr="00B71D90">
              <w:t xml:space="preserve">are available from </w:t>
            </w:r>
            <w:r w:rsidR="007B0B50" w:rsidRPr="00B71D90">
              <w:t xml:space="preserve">your </w:t>
            </w:r>
            <w:r w:rsidR="00207C16" w:rsidRPr="00B71D90">
              <w:t xml:space="preserve">NCQA </w:t>
            </w:r>
            <w:r w:rsidR="007B0B50" w:rsidRPr="00B71D90">
              <w:t>Licensed Organization</w:t>
            </w:r>
            <w:r w:rsidR="008354C6" w:rsidRPr="00B71D90">
              <w:t xml:space="preserve">. </w:t>
            </w:r>
          </w:p>
        </w:tc>
      </w:tr>
      <w:tr w:rsidR="00803967" w:rsidRPr="00B71D90" w:rsidTr="008E3992">
        <w:tc>
          <w:tcPr>
            <w:tcW w:w="2250" w:type="dxa"/>
          </w:tcPr>
          <w:p w:rsidR="00803967" w:rsidRPr="00B71D90" w:rsidRDefault="00803967">
            <w:pPr>
              <w:pStyle w:val="MarginSubhead"/>
            </w:pPr>
            <w:r w:rsidRPr="00B71D90">
              <w:t>Survey sample frame validation</w:t>
            </w:r>
          </w:p>
        </w:tc>
        <w:tc>
          <w:tcPr>
            <w:tcW w:w="7650" w:type="dxa"/>
          </w:tcPr>
          <w:p w:rsidR="00803967" w:rsidRPr="00B71D90" w:rsidRDefault="001C5B37">
            <w:pPr>
              <w:pStyle w:val="Body"/>
            </w:pPr>
            <w:r w:rsidRPr="00B71D90">
              <w:rPr>
                <w:rFonts w:cs="Arial"/>
                <w:szCs w:val="20"/>
              </w:rPr>
              <w:t xml:space="preserve">A Certified Auditor validates the survey sample frame before the Certified Survey Vendor draws the final sample and administers the survey. </w:t>
            </w:r>
            <w:r w:rsidR="00803967" w:rsidRPr="00B71D90">
              <w:t xml:space="preserve">Performing the sample frame validation early in the audit allows the </w:t>
            </w:r>
            <w:r w:rsidR="006A4760" w:rsidRPr="00B71D90">
              <w:t>organization</w:t>
            </w:r>
            <w:r w:rsidR="00803967" w:rsidRPr="00B71D90">
              <w:t xml:space="preserve"> time to correct problems.</w:t>
            </w:r>
          </w:p>
        </w:tc>
      </w:tr>
      <w:tr w:rsidR="00803967" w:rsidRPr="00B71D90" w:rsidTr="008E3992">
        <w:tc>
          <w:tcPr>
            <w:tcW w:w="2250" w:type="dxa"/>
          </w:tcPr>
          <w:p w:rsidR="00803967" w:rsidRPr="00B71D90" w:rsidRDefault="00803967" w:rsidP="009221AB">
            <w:pPr>
              <w:pStyle w:val="MarginSubhead"/>
            </w:pPr>
            <w:r w:rsidRPr="00B71D90">
              <w:t>Core set selection</w:t>
            </w:r>
          </w:p>
        </w:tc>
        <w:tc>
          <w:tcPr>
            <w:tcW w:w="7650" w:type="dxa"/>
          </w:tcPr>
          <w:p w:rsidR="00803967" w:rsidRPr="00B71D90" w:rsidRDefault="00651C48" w:rsidP="0083095E">
            <w:pPr>
              <w:pStyle w:val="Body"/>
            </w:pPr>
            <w:r w:rsidRPr="00B71D90">
              <w:t>I</w:t>
            </w:r>
            <w:r w:rsidR="00796211" w:rsidRPr="00B71D90">
              <w:t xml:space="preserve">f the </w:t>
            </w:r>
            <w:r w:rsidR="006A4760" w:rsidRPr="00B71D90">
              <w:t>organization</w:t>
            </w:r>
            <w:r w:rsidR="00796211" w:rsidRPr="00B71D90">
              <w:t xml:space="preserve"> does not use an NCQA</w:t>
            </w:r>
            <w:r w:rsidR="0083095E" w:rsidRPr="00B71D90">
              <w:t xml:space="preserve"> </w:t>
            </w:r>
            <w:r w:rsidR="00796211" w:rsidRPr="00B71D90">
              <w:t xml:space="preserve">Certified Software Vendor, </w:t>
            </w:r>
            <w:r w:rsidR="00803967" w:rsidRPr="00B71D90">
              <w:t xml:space="preserve">the Certified Auditor selects a core set of measures for detailed </w:t>
            </w:r>
            <w:r w:rsidR="00796211" w:rsidRPr="00B71D90">
              <w:t xml:space="preserve">source code </w:t>
            </w:r>
            <w:r w:rsidR="00803967" w:rsidRPr="00B71D90">
              <w:t>review</w:t>
            </w:r>
            <w:r w:rsidR="00796211" w:rsidRPr="00B71D90">
              <w:t xml:space="preserve">. </w:t>
            </w:r>
            <w:r w:rsidR="00C73E1C" w:rsidRPr="00B71D90">
              <w:t>S</w:t>
            </w:r>
            <w:r w:rsidR="00796211" w:rsidRPr="00B71D90">
              <w:t>election is</w:t>
            </w:r>
            <w:r w:rsidR="00803967" w:rsidRPr="00B71D90">
              <w:t xml:space="preserve"> based on</w:t>
            </w:r>
            <w:r w:rsidR="00984A11" w:rsidRPr="00B71D90">
              <w:t xml:space="preserve"> many considerations</w:t>
            </w:r>
            <w:r w:rsidR="00AB3630" w:rsidRPr="00B71D90">
              <w:t>,</w:t>
            </w:r>
            <w:r w:rsidR="00984A11" w:rsidRPr="00B71D90">
              <w:t xml:space="preserve"> including</w:t>
            </w:r>
            <w:r w:rsidR="00803967" w:rsidRPr="00B71D90">
              <w:t xml:space="preserve"> </w:t>
            </w:r>
            <w:r w:rsidR="00796211" w:rsidRPr="00B71D90">
              <w:t xml:space="preserve">the </w:t>
            </w:r>
            <w:r w:rsidR="00803967" w:rsidRPr="00B71D90">
              <w:t xml:space="preserve">initial assessment of the </w:t>
            </w:r>
            <w:r w:rsidR="005D5CDE" w:rsidRPr="00B71D90">
              <w:t xml:space="preserve">Roadmap </w:t>
            </w:r>
            <w:r w:rsidR="00984A11" w:rsidRPr="00B71D90">
              <w:t xml:space="preserve">and </w:t>
            </w:r>
            <w:r w:rsidR="00C73E1C" w:rsidRPr="00B71D90">
              <w:t xml:space="preserve">a </w:t>
            </w:r>
            <w:r w:rsidR="00AB3630" w:rsidRPr="00B71D90">
              <w:t xml:space="preserve">review of </w:t>
            </w:r>
            <w:r w:rsidR="000838F1" w:rsidRPr="00B71D90">
              <w:t xml:space="preserve">the </w:t>
            </w:r>
            <w:r w:rsidR="004C0A1C" w:rsidRPr="00B71D90">
              <w:t>previous year</w:t>
            </w:r>
            <w:r w:rsidR="000838F1" w:rsidRPr="00B71D90">
              <w:t>’</w:t>
            </w:r>
            <w:r w:rsidR="004C0A1C" w:rsidRPr="00B71D90">
              <w:t>s results</w:t>
            </w:r>
            <w:r w:rsidR="00984A11" w:rsidRPr="00B71D90">
              <w:t>.</w:t>
            </w:r>
            <w:r w:rsidR="00803967" w:rsidRPr="00B71D90">
              <w:t xml:space="preserve"> </w:t>
            </w:r>
          </w:p>
        </w:tc>
      </w:tr>
      <w:tr w:rsidR="00E15CAF" w:rsidRPr="00B71D90" w:rsidTr="008E3992">
        <w:tc>
          <w:tcPr>
            <w:tcW w:w="2250" w:type="dxa"/>
          </w:tcPr>
          <w:p w:rsidR="00E15CAF" w:rsidRPr="00B71D90" w:rsidRDefault="00E15CAF" w:rsidP="009221AB">
            <w:pPr>
              <w:pStyle w:val="MarginSubhead"/>
            </w:pPr>
            <w:r w:rsidRPr="00B71D90">
              <w:t>Source code review</w:t>
            </w:r>
          </w:p>
        </w:tc>
        <w:tc>
          <w:tcPr>
            <w:tcW w:w="7650" w:type="dxa"/>
          </w:tcPr>
          <w:p w:rsidR="00E15CAF" w:rsidRPr="00B71D90" w:rsidRDefault="00C73E1C" w:rsidP="007B3E03">
            <w:pPr>
              <w:pStyle w:val="Body"/>
            </w:pPr>
            <w:r w:rsidRPr="00B71D90">
              <w:t>T</w:t>
            </w:r>
            <w:r w:rsidR="00CA4F84" w:rsidRPr="00B71D90">
              <w:t xml:space="preserve">he </w:t>
            </w:r>
            <w:r w:rsidR="00ED6E1E" w:rsidRPr="00B71D90">
              <w:t xml:space="preserve">manual or automated </w:t>
            </w:r>
            <w:r w:rsidR="00CA4F84" w:rsidRPr="00B71D90">
              <w:t>process of examining original programmin</w:t>
            </w:r>
            <w:r w:rsidR="002742E7" w:rsidRPr="00B71D90">
              <w:t>g to verify that it is accurate and</w:t>
            </w:r>
            <w:r w:rsidR="00CA4F84" w:rsidRPr="00B71D90">
              <w:t xml:space="preserve"> complete and </w:t>
            </w:r>
            <w:r w:rsidR="002742E7" w:rsidRPr="00B71D90">
              <w:t xml:space="preserve">that it </w:t>
            </w:r>
            <w:r w:rsidR="00CA4F84" w:rsidRPr="00B71D90">
              <w:t>compli</w:t>
            </w:r>
            <w:r w:rsidRPr="00B71D90">
              <w:t>es</w:t>
            </w:r>
            <w:r w:rsidR="00CA4F84" w:rsidRPr="00B71D90">
              <w:t xml:space="preserve"> with </w:t>
            </w:r>
            <w:r w:rsidR="007A3CD5" w:rsidRPr="00B71D90">
              <w:t xml:space="preserve">measure </w:t>
            </w:r>
            <w:r w:rsidR="00ED6E1E" w:rsidRPr="00B71D90">
              <w:t>specifications.</w:t>
            </w:r>
          </w:p>
        </w:tc>
      </w:tr>
      <w:tr w:rsidR="00803967" w:rsidRPr="00B71D90" w:rsidTr="008E3992">
        <w:tc>
          <w:tcPr>
            <w:tcW w:w="2250" w:type="dxa"/>
          </w:tcPr>
          <w:p w:rsidR="00803967" w:rsidRPr="00B71D90" w:rsidRDefault="000838F1" w:rsidP="009221AB">
            <w:pPr>
              <w:pStyle w:val="MarginSubhead"/>
            </w:pPr>
            <w:r w:rsidRPr="00B71D90">
              <w:t>MRR</w:t>
            </w:r>
            <w:r w:rsidR="006D6874">
              <w:t xml:space="preserve"> v</w:t>
            </w:r>
            <w:r w:rsidR="00803967" w:rsidRPr="00B71D90">
              <w:t>alidation</w:t>
            </w:r>
          </w:p>
        </w:tc>
        <w:tc>
          <w:tcPr>
            <w:tcW w:w="7650" w:type="dxa"/>
          </w:tcPr>
          <w:p w:rsidR="00803967" w:rsidRPr="00602C89" w:rsidRDefault="000838F1" w:rsidP="00053100">
            <w:pPr>
              <w:pStyle w:val="Body"/>
            </w:pPr>
            <w:r w:rsidRPr="006D6874">
              <w:t>M</w:t>
            </w:r>
            <w:r w:rsidR="00803967" w:rsidRPr="006D6874">
              <w:t xml:space="preserve">edical record review </w:t>
            </w:r>
            <w:r w:rsidR="00803967" w:rsidRPr="00B71D90">
              <w:t>validation</w:t>
            </w:r>
            <w:r w:rsidR="00D11D7F">
              <w:t xml:space="preserve"> </w:t>
            </w:r>
            <w:r w:rsidR="00D11D7F" w:rsidRPr="006D6874">
              <w:t>(MRR</w:t>
            </w:r>
            <w:r w:rsidR="00D11D7F">
              <w:t>V</w:t>
            </w:r>
            <w:r w:rsidR="00D11D7F" w:rsidRPr="006D6874">
              <w:t>)</w:t>
            </w:r>
            <w:r w:rsidR="00602C89">
              <w:t xml:space="preserve"> </w:t>
            </w:r>
            <w:r w:rsidR="00803967" w:rsidRPr="00B71D90">
              <w:t xml:space="preserve">is a required component of the audit </w:t>
            </w:r>
            <w:r w:rsidR="004C3B48" w:rsidRPr="00B71D90">
              <w:t xml:space="preserve">for organizations </w:t>
            </w:r>
            <w:r w:rsidR="00803967" w:rsidRPr="00B71D90">
              <w:t xml:space="preserve">that use medical record data to report HEDIS. To validate the integrity of MRR processes, the Certified Auditor </w:t>
            </w:r>
            <w:r w:rsidR="00651C48" w:rsidRPr="00B71D90">
              <w:t xml:space="preserve">reviews </w:t>
            </w:r>
            <w:r w:rsidR="00803967" w:rsidRPr="00B71D90">
              <w:t>the experience and credentials of the MRR staff</w:t>
            </w:r>
            <w:r w:rsidR="00A36ED5" w:rsidRPr="00B71D90">
              <w:t xml:space="preserve">, the </w:t>
            </w:r>
            <w:r w:rsidR="00651C48" w:rsidRPr="00B71D90">
              <w:t xml:space="preserve">staff’s </w:t>
            </w:r>
            <w:r w:rsidR="00A36ED5" w:rsidRPr="00B71D90">
              <w:t xml:space="preserve">training </w:t>
            </w:r>
            <w:r w:rsidR="00651C48" w:rsidRPr="00B71D90">
              <w:t>program</w:t>
            </w:r>
            <w:r w:rsidR="00A36ED5" w:rsidRPr="00B71D90">
              <w:t xml:space="preserve">, </w:t>
            </w:r>
            <w:r w:rsidR="00803967" w:rsidRPr="00B71D90">
              <w:t xml:space="preserve">the </w:t>
            </w:r>
            <w:r w:rsidR="00C73E1C" w:rsidRPr="00B71D90">
              <w:t>MRR</w:t>
            </w:r>
            <w:r w:rsidR="00803967" w:rsidRPr="00B71D90">
              <w:t xml:space="preserve"> tools</w:t>
            </w:r>
            <w:r w:rsidR="0030296F" w:rsidRPr="00B71D90">
              <w:t>,</w:t>
            </w:r>
            <w:r w:rsidR="00A36ED5" w:rsidRPr="00B71D90">
              <w:t xml:space="preserve"> </w:t>
            </w:r>
            <w:r w:rsidR="00B71D90" w:rsidRPr="00B71D90">
              <w:t xml:space="preserve">interrater reliability </w:t>
            </w:r>
            <w:r w:rsidR="00CF3CCE" w:rsidRPr="00B71D90">
              <w:t>(IRR)</w:t>
            </w:r>
            <w:r w:rsidR="00CF3CCE">
              <w:t xml:space="preserve"> </w:t>
            </w:r>
            <w:r w:rsidR="00B71D90" w:rsidRPr="00B71D90">
              <w:t xml:space="preserve">testing </w:t>
            </w:r>
            <w:r w:rsidR="00A36ED5" w:rsidRPr="00B71D90">
              <w:t xml:space="preserve">and </w:t>
            </w:r>
            <w:r w:rsidR="00803967" w:rsidRPr="00B71D90">
              <w:t xml:space="preserve">the </w:t>
            </w:r>
            <w:r w:rsidR="00651C48" w:rsidRPr="00B71D90">
              <w:t xml:space="preserve">MRR </w:t>
            </w:r>
            <w:r w:rsidR="00A36ED5" w:rsidRPr="00B71D90">
              <w:t xml:space="preserve">oversight </w:t>
            </w:r>
            <w:r w:rsidR="00803967" w:rsidRPr="00B71D90">
              <w:t xml:space="preserve">process. </w:t>
            </w:r>
          </w:p>
          <w:p w:rsidR="008E3992" w:rsidRDefault="00A36ED5" w:rsidP="0006711C">
            <w:pPr>
              <w:pStyle w:val="Body"/>
            </w:pPr>
            <w:r w:rsidRPr="00B71D90">
              <w:t xml:space="preserve">MRR </w:t>
            </w:r>
            <w:r w:rsidR="00651C48" w:rsidRPr="00B71D90">
              <w:t xml:space="preserve">validation </w:t>
            </w:r>
            <w:r w:rsidR="000838F1" w:rsidRPr="00B71D90">
              <w:t>includes a review of</w:t>
            </w:r>
            <w:r w:rsidRPr="00B71D90">
              <w:t xml:space="preserve"> a small set of </w:t>
            </w:r>
            <w:r w:rsidR="00803967" w:rsidRPr="00B71D90">
              <w:t>completed abstraction tools from multiple hybrid measures</w:t>
            </w:r>
            <w:r w:rsidR="000838F1" w:rsidRPr="00B71D90">
              <w:t xml:space="preserve"> </w:t>
            </w:r>
            <w:r w:rsidRPr="00B71D90">
              <w:t>and</w:t>
            </w:r>
            <w:r w:rsidR="00803967" w:rsidRPr="00B71D90">
              <w:t xml:space="preserve"> </w:t>
            </w:r>
            <w:r w:rsidR="000838F1" w:rsidRPr="00B71D90">
              <w:t xml:space="preserve">application of </w:t>
            </w:r>
            <w:r w:rsidR="009221AB" w:rsidRPr="00B71D90">
              <w:t>a</w:t>
            </w:r>
            <w:r w:rsidR="00803967" w:rsidRPr="00B71D90">
              <w:t xml:space="preserve"> final statistical validation </w:t>
            </w:r>
            <w:r w:rsidR="009221AB" w:rsidRPr="00B71D90">
              <w:t>t</w:t>
            </w:r>
            <w:r w:rsidR="00803967" w:rsidRPr="00B71D90">
              <w:t>o a sample of positive numerator events to confirm the accuracy of the process</w:t>
            </w:r>
            <w:r w:rsidR="000838F1" w:rsidRPr="00B71D90">
              <w:t>.</w:t>
            </w:r>
          </w:p>
          <w:p w:rsidR="00053100" w:rsidRPr="00B71D90" w:rsidRDefault="00053100" w:rsidP="007B3AB1">
            <w:pPr>
              <w:pStyle w:val="Body"/>
            </w:pPr>
            <w:r w:rsidRPr="00602C89">
              <w:t xml:space="preserve">The new process </w:t>
            </w:r>
            <w:r>
              <w:t xml:space="preserve">for 2013 </w:t>
            </w:r>
            <w:r w:rsidRPr="00602C89">
              <w:t xml:space="preserve">uses like-measure groupings for measure validation, includes hybrid measure exclusions, applies a different statistical test to the process and defines MRR milestones clearly to ensure consistency across </w:t>
            </w:r>
            <w:r w:rsidR="007B3AB1">
              <w:t>organization</w:t>
            </w:r>
            <w:r w:rsidR="007B3AB1" w:rsidRPr="00602C89">
              <w:t>s</w:t>
            </w:r>
            <w:r w:rsidRPr="00602C89">
              <w:t>.</w:t>
            </w:r>
          </w:p>
        </w:tc>
      </w:tr>
      <w:tr w:rsidR="008E3992" w:rsidRPr="00B71D90" w:rsidTr="008E3992">
        <w:tc>
          <w:tcPr>
            <w:tcW w:w="2250" w:type="dxa"/>
          </w:tcPr>
          <w:p w:rsidR="008E3992" w:rsidRPr="00B71D90" w:rsidRDefault="008E3992" w:rsidP="00BC35BE">
            <w:pPr>
              <w:pStyle w:val="MarginSubhead"/>
            </w:pPr>
            <w:r w:rsidRPr="00B71D90">
              <w:t xml:space="preserve">Preliminary </w:t>
            </w:r>
            <w:r w:rsidR="00BC35BE" w:rsidRPr="00B71D90">
              <w:t>r</w:t>
            </w:r>
            <w:r w:rsidRPr="00B71D90">
              <w:t xml:space="preserve">ate </w:t>
            </w:r>
            <w:r w:rsidR="00BC35BE" w:rsidRPr="00B71D90">
              <w:t>r</w:t>
            </w:r>
            <w:r w:rsidRPr="00B71D90">
              <w:t>eview</w:t>
            </w:r>
          </w:p>
        </w:tc>
        <w:tc>
          <w:tcPr>
            <w:tcW w:w="7650" w:type="dxa"/>
          </w:tcPr>
          <w:p w:rsidR="008E3992" w:rsidRPr="00B71D90" w:rsidRDefault="00F86F6D" w:rsidP="00F51C6B">
            <w:pPr>
              <w:pStyle w:val="Body"/>
              <w:rPr>
                <w:b/>
              </w:rPr>
            </w:pPr>
            <w:r w:rsidRPr="00B71D90">
              <w:t>Preliminary rate review provides the Certified A</w:t>
            </w:r>
            <w:r w:rsidR="007C2463" w:rsidRPr="00B71D90">
              <w:t>uditor</w:t>
            </w:r>
            <w:r w:rsidRPr="00B71D90">
              <w:t xml:space="preserve"> with </w:t>
            </w:r>
            <w:r w:rsidR="008C2C6F" w:rsidRPr="00B71D90">
              <w:t xml:space="preserve">initial </w:t>
            </w:r>
            <w:r w:rsidRPr="00B71D90">
              <w:t xml:space="preserve">administrative </w:t>
            </w:r>
            <w:r w:rsidR="007F6A5F" w:rsidRPr="00B71D90">
              <w:t xml:space="preserve">and hybrid </w:t>
            </w:r>
            <w:r w:rsidRPr="00B71D90">
              <w:t xml:space="preserve">rate </w:t>
            </w:r>
            <w:r w:rsidR="007C2463" w:rsidRPr="00B71D90">
              <w:t xml:space="preserve">information. The </w:t>
            </w:r>
            <w:r w:rsidR="00F51C6B" w:rsidRPr="00B71D90">
              <w:t xml:space="preserve">auditor uses the </w:t>
            </w:r>
            <w:r w:rsidR="008C2C6F" w:rsidRPr="00B71D90">
              <w:t xml:space="preserve">initial rate review </w:t>
            </w:r>
            <w:r w:rsidR="00F51C6B" w:rsidRPr="00B71D90">
              <w:t xml:space="preserve">to assess </w:t>
            </w:r>
            <w:r w:rsidRPr="00B71D90">
              <w:t xml:space="preserve">data completeness </w:t>
            </w:r>
            <w:r w:rsidR="007C2463" w:rsidRPr="00B71D90">
              <w:t xml:space="preserve">and accuracy </w:t>
            </w:r>
            <w:r w:rsidR="00F51C6B" w:rsidRPr="00B71D90">
              <w:t>early in the audit</w:t>
            </w:r>
            <w:r w:rsidRPr="00B71D90">
              <w:t>.</w:t>
            </w:r>
            <w:r w:rsidR="00D83E07" w:rsidRPr="00B71D90">
              <w:t xml:space="preserve"> </w:t>
            </w:r>
            <w:r w:rsidR="007F6A5F" w:rsidRPr="00B71D90">
              <w:t xml:space="preserve">Significant rate </w:t>
            </w:r>
            <w:r w:rsidR="00EF25C3" w:rsidRPr="00B71D90">
              <w:t xml:space="preserve">variations </w:t>
            </w:r>
            <w:r w:rsidR="000D3366" w:rsidRPr="00B71D90">
              <w:t xml:space="preserve">found </w:t>
            </w:r>
            <w:r w:rsidR="007F6A5F" w:rsidRPr="00B71D90">
              <w:t>during preliminary rate review are recorded</w:t>
            </w:r>
            <w:r w:rsidR="00EF25C3" w:rsidRPr="00B71D90">
              <w:t xml:space="preserve">, </w:t>
            </w:r>
            <w:r w:rsidR="007F6A5F" w:rsidRPr="00B71D90">
              <w:t>discussed</w:t>
            </w:r>
            <w:r w:rsidR="00EF25C3" w:rsidRPr="00B71D90">
              <w:t xml:space="preserve"> and corrected if needed</w:t>
            </w:r>
            <w:r w:rsidR="007F6A5F" w:rsidRPr="00B71D90">
              <w:t>.</w:t>
            </w:r>
          </w:p>
        </w:tc>
      </w:tr>
    </w:tbl>
    <w:p w:rsidR="008A7777" w:rsidRDefault="008A7777" w:rsidP="008A7777">
      <w:pPr>
        <w:sectPr w:rsidR="008A7777" w:rsidSect="00550D6B">
          <w:headerReference w:type="even" r:id="rId52"/>
          <w:headerReference w:type="default" r:id="rId53"/>
          <w:footerReference w:type="even" r:id="rId54"/>
          <w:footnotePr>
            <w:numStart w:val="2"/>
          </w:footnotePr>
          <w:pgSz w:w="12240" w:h="15840" w:code="1"/>
          <w:pgMar w:top="1080" w:right="1080" w:bottom="1080" w:left="1440" w:header="720" w:footer="720" w:gutter="0"/>
          <w:cols w:space="720"/>
        </w:sectPr>
      </w:pPr>
    </w:p>
    <w:p w:rsidR="00803967" w:rsidRPr="00B71D90" w:rsidRDefault="00803967" w:rsidP="008A7777">
      <w:pPr>
        <w:pStyle w:val="StdHead"/>
        <w:spacing w:before="0"/>
        <w:rPr>
          <w:color w:val="auto"/>
        </w:rPr>
      </w:pPr>
      <w:r w:rsidRPr="00B71D90">
        <w:rPr>
          <w:color w:val="auto"/>
        </w:rPr>
        <w:lastRenderedPageBreak/>
        <w:t>Onsite Audit Process</w:t>
      </w:r>
    </w:p>
    <w:tbl>
      <w:tblPr>
        <w:tblW w:w="0" w:type="auto"/>
        <w:tblInd w:w="-72" w:type="dxa"/>
        <w:tblLayout w:type="fixed"/>
        <w:tblLook w:val="0000"/>
      </w:tblPr>
      <w:tblGrid>
        <w:gridCol w:w="2250"/>
        <w:gridCol w:w="7650"/>
      </w:tblGrid>
      <w:tr w:rsidR="00803967" w:rsidRPr="00B71D90">
        <w:tc>
          <w:tcPr>
            <w:tcW w:w="2250" w:type="dxa"/>
          </w:tcPr>
          <w:p w:rsidR="00803967" w:rsidRPr="00B71D90" w:rsidRDefault="00803967">
            <w:pPr>
              <w:pStyle w:val="MarginSubhead"/>
            </w:pPr>
            <w:r w:rsidRPr="00B71D90">
              <w:t xml:space="preserve">The </w:t>
            </w:r>
            <w:r w:rsidR="00535883" w:rsidRPr="00B71D90">
              <w:t>onsite visit</w:t>
            </w:r>
          </w:p>
        </w:tc>
        <w:tc>
          <w:tcPr>
            <w:tcW w:w="7650" w:type="dxa"/>
          </w:tcPr>
          <w:p w:rsidR="00991A14" w:rsidRPr="00B71D90" w:rsidRDefault="00F75BAB">
            <w:pPr>
              <w:pStyle w:val="Body"/>
            </w:pPr>
            <w:r w:rsidRPr="00B71D90">
              <w:t>A</w:t>
            </w:r>
            <w:r w:rsidR="00053100">
              <w:t xml:space="preserve"> required</w:t>
            </w:r>
            <w:r w:rsidRPr="00B71D90">
              <w:t xml:space="preserve"> </w:t>
            </w:r>
            <w:r w:rsidR="00535883" w:rsidRPr="00B71D90">
              <w:t>onsite visit</w:t>
            </w:r>
            <w:r w:rsidRPr="00B71D90">
              <w:t xml:space="preserve"> can take from one to four days and is conducted by an audit team that includes at least one Certified Auditor. </w:t>
            </w:r>
            <w:r w:rsidR="007B3E03" w:rsidRPr="00B71D90">
              <w:t xml:space="preserve">During the site </w:t>
            </w:r>
            <w:r w:rsidR="00803967" w:rsidRPr="00B71D90">
              <w:t>visit</w:t>
            </w:r>
            <w:r w:rsidR="007B3E03" w:rsidRPr="00B71D90">
              <w:t xml:space="preserve">, </w:t>
            </w:r>
            <w:r w:rsidR="00803967" w:rsidRPr="00B71D90">
              <w:t>the auditor observe</w:t>
            </w:r>
            <w:r w:rsidR="007B3E03" w:rsidRPr="00B71D90">
              <w:t>s</w:t>
            </w:r>
            <w:r w:rsidR="00803967" w:rsidRPr="00B71D90">
              <w:t xml:space="preserve"> systems used to collect and produce </w:t>
            </w:r>
            <w:r w:rsidR="009107FC" w:rsidRPr="00B71D90">
              <w:t xml:space="preserve">measure </w:t>
            </w:r>
            <w:r w:rsidR="00803967" w:rsidRPr="00B71D90">
              <w:t xml:space="preserve">data. </w:t>
            </w:r>
            <w:r w:rsidR="00991A14" w:rsidRPr="00B71D90">
              <w:t xml:space="preserve">The number and </w:t>
            </w:r>
            <w:r w:rsidR="00D53B16" w:rsidRPr="00B71D90">
              <w:t xml:space="preserve">content </w:t>
            </w:r>
            <w:r w:rsidR="00991A14" w:rsidRPr="00B71D90">
              <w:t>of onsite visits depend</w:t>
            </w:r>
            <w:r w:rsidR="000838F1" w:rsidRPr="00B71D90">
              <w:t>s</w:t>
            </w:r>
            <w:r w:rsidR="00991A14" w:rsidRPr="00B71D90">
              <w:t xml:space="preserve"> on the size and structure of the </w:t>
            </w:r>
            <w:r w:rsidR="006A4760" w:rsidRPr="00B71D90">
              <w:t>organization</w:t>
            </w:r>
            <w:r w:rsidR="00991A14" w:rsidRPr="00B71D90">
              <w:t xml:space="preserve"> and the number of delegated vendors or offsite facilities relevant to </w:t>
            </w:r>
            <w:r w:rsidR="009107FC" w:rsidRPr="00B71D90">
              <w:t>measure reporting</w:t>
            </w:r>
            <w:r w:rsidR="00991A14" w:rsidRPr="00B71D90">
              <w:t xml:space="preserve">. </w:t>
            </w:r>
            <w:r w:rsidR="00E65D62">
              <w:t xml:space="preserve">NCQA requires all auditors and organizational staff </w:t>
            </w:r>
            <w:r w:rsidR="008A7777">
              <w:t xml:space="preserve">who are present </w:t>
            </w:r>
            <w:r w:rsidR="00E65D62">
              <w:t>to sign</w:t>
            </w:r>
            <w:r w:rsidR="002E5DF5">
              <w:t xml:space="preserve"> </w:t>
            </w:r>
            <w:r w:rsidR="00E65D62">
              <w:t xml:space="preserve">an attendance form to document </w:t>
            </w:r>
            <w:r w:rsidR="008A7777">
              <w:t xml:space="preserve">their </w:t>
            </w:r>
            <w:r w:rsidR="00E65D62">
              <w:t xml:space="preserve">involvement in the process. </w:t>
            </w:r>
          </w:p>
          <w:p w:rsidR="0006711C" w:rsidRPr="00B71D90" w:rsidRDefault="00803967" w:rsidP="000838F1">
            <w:pPr>
              <w:pStyle w:val="Body"/>
            </w:pPr>
            <w:r w:rsidRPr="00B71D90">
              <w:t xml:space="preserve">The audit team </w:t>
            </w:r>
            <w:r w:rsidR="00D55D63" w:rsidRPr="00B71D90">
              <w:t xml:space="preserve">conducts </w:t>
            </w:r>
            <w:r w:rsidRPr="00B71D90">
              <w:t>interviews</w:t>
            </w:r>
            <w:r w:rsidR="009E38C6" w:rsidRPr="00B71D90">
              <w:t>;</w:t>
            </w:r>
            <w:r w:rsidRPr="00B71D90">
              <w:t xml:space="preserve"> reviews system</w:t>
            </w:r>
            <w:r w:rsidR="00D55D63" w:rsidRPr="00B71D90">
              <w:t>s</w:t>
            </w:r>
            <w:r w:rsidR="009E38C6" w:rsidRPr="00B71D90">
              <w:t>,</w:t>
            </w:r>
            <w:r w:rsidR="00BA4DC2" w:rsidRPr="00B71D90">
              <w:t xml:space="preserve"> </w:t>
            </w:r>
            <w:r w:rsidRPr="00B71D90">
              <w:t>processes and measure-specific data collection</w:t>
            </w:r>
            <w:r w:rsidR="009E38C6" w:rsidRPr="00B71D90">
              <w:t xml:space="preserve">; and assesses the level of </w:t>
            </w:r>
            <w:r w:rsidR="00F717EB" w:rsidRPr="00B71D90">
              <w:t xml:space="preserve">the organization’s </w:t>
            </w:r>
            <w:r w:rsidR="009E38C6" w:rsidRPr="00B71D90">
              <w:t>data completeness</w:t>
            </w:r>
            <w:r w:rsidRPr="00B71D90">
              <w:t xml:space="preserve">. The team concludes the </w:t>
            </w:r>
            <w:r w:rsidR="00535883" w:rsidRPr="00B71D90">
              <w:t>onsite visit</w:t>
            </w:r>
            <w:r w:rsidRPr="00B71D90">
              <w:t xml:space="preserve"> with a closing session</w:t>
            </w:r>
            <w:r w:rsidR="000838F1" w:rsidRPr="00B71D90">
              <w:t>, where it</w:t>
            </w:r>
            <w:r w:rsidR="00D55D63" w:rsidRPr="00B71D90">
              <w:t xml:space="preserve"> </w:t>
            </w:r>
            <w:r w:rsidRPr="00B71D90">
              <w:t>shares initial findings.</w:t>
            </w:r>
          </w:p>
        </w:tc>
      </w:tr>
    </w:tbl>
    <w:p w:rsidR="005F1E57" w:rsidRPr="00B71D90" w:rsidRDefault="00803967" w:rsidP="0006711C">
      <w:pPr>
        <w:pStyle w:val="StdHead"/>
        <w:rPr>
          <w:color w:val="auto"/>
        </w:rPr>
      </w:pPr>
      <w:r w:rsidRPr="00B71D90">
        <w:rPr>
          <w:color w:val="auto"/>
        </w:rPr>
        <w:t xml:space="preserve">Post-Onsite and Reporting </w:t>
      </w:r>
    </w:p>
    <w:tbl>
      <w:tblPr>
        <w:tblW w:w="0" w:type="auto"/>
        <w:tblInd w:w="-72" w:type="dxa"/>
        <w:tblLayout w:type="fixed"/>
        <w:tblLook w:val="0000"/>
      </w:tblPr>
      <w:tblGrid>
        <w:gridCol w:w="2250"/>
        <w:gridCol w:w="7650"/>
      </w:tblGrid>
      <w:tr w:rsidR="00803967" w:rsidRPr="00B71D90" w:rsidTr="00EB79CC">
        <w:tc>
          <w:tcPr>
            <w:tcW w:w="2250" w:type="dxa"/>
          </w:tcPr>
          <w:p w:rsidR="00803967" w:rsidRPr="00B71D90" w:rsidRDefault="00803967">
            <w:pPr>
              <w:pStyle w:val="MarginSubhead"/>
            </w:pPr>
            <w:r w:rsidRPr="00B71D90">
              <w:t>Documents and corrective actions</w:t>
            </w:r>
          </w:p>
        </w:tc>
        <w:tc>
          <w:tcPr>
            <w:tcW w:w="7650" w:type="dxa"/>
          </w:tcPr>
          <w:p w:rsidR="00803967" w:rsidRPr="00B71D90" w:rsidRDefault="00803967" w:rsidP="002023CC">
            <w:pPr>
              <w:pStyle w:val="Body"/>
            </w:pPr>
            <w:r w:rsidRPr="00B71D90">
              <w:t xml:space="preserve">Based on requests from the auditor at the onsite visit or in the follow-up documentation, the </w:t>
            </w:r>
            <w:r w:rsidR="006A4760" w:rsidRPr="00B71D90">
              <w:t>organization</w:t>
            </w:r>
            <w:r w:rsidRPr="00B71D90">
              <w:t xml:space="preserve"> submit</w:t>
            </w:r>
            <w:r w:rsidR="001F7CC4" w:rsidRPr="00B71D90">
              <w:t>s</w:t>
            </w:r>
            <w:r w:rsidRPr="00B71D90">
              <w:t xml:space="preserve"> additional documents and implement</w:t>
            </w:r>
            <w:r w:rsidR="001F7CC4" w:rsidRPr="00B71D90">
              <w:t xml:space="preserve">s </w:t>
            </w:r>
            <w:r w:rsidRPr="00B71D90">
              <w:t xml:space="preserve">corrective actions. </w:t>
            </w:r>
            <w:r w:rsidR="001F7CC4" w:rsidRPr="00B71D90">
              <w:t xml:space="preserve">Timely completion of </w:t>
            </w:r>
            <w:r w:rsidRPr="00B71D90">
              <w:t>corrective acti</w:t>
            </w:r>
            <w:r w:rsidR="001531C4" w:rsidRPr="00B71D90">
              <w:t>on</w:t>
            </w:r>
            <w:r w:rsidRPr="00B71D90">
              <w:t xml:space="preserve">s </w:t>
            </w:r>
            <w:r w:rsidR="001F7CC4" w:rsidRPr="00B71D90">
              <w:t xml:space="preserve">gives </w:t>
            </w:r>
            <w:r w:rsidRPr="00B71D90">
              <w:t xml:space="preserve">the auditor </w:t>
            </w:r>
            <w:r w:rsidR="002023CC" w:rsidRPr="00B71D90">
              <w:t xml:space="preserve">enough </w:t>
            </w:r>
            <w:r w:rsidRPr="00B71D90">
              <w:t>time</w:t>
            </w:r>
            <w:r w:rsidR="002023CC" w:rsidRPr="00B71D90">
              <w:t xml:space="preserve"> before the submission date</w:t>
            </w:r>
            <w:r w:rsidRPr="00B71D90">
              <w:t xml:space="preserve"> to determine the</w:t>
            </w:r>
            <w:r w:rsidR="00C675AD" w:rsidRPr="00B71D90">
              <w:t>ir</w:t>
            </w:r>
            <w:r w:rsidRPr="00B71D90">
              <w:t xml:space="preserve"> </w:t>
            </w:r>
            <w:r w:rsidR="001531C4" w:rsidRPr="00B71D90">
              <w:t>effe</w:t>
            </w:r>
            <w:r w:rsidRPr="00B71D90">
              <w:t>ct o</w:t>
            </w:r>
            <w:r w:rsidR="00DD75E7" w:rsidRPr="00B71D90">
              <w:t>n</w:t>
            </w:r>
            <w:r w:rsidRPr="00B71D90">
              <w:t xml:space="preserve"> </w:t>
            </w:r>
            <w:r w:rsidR="00096E34" w:rsidRPr="00B71D90">
              <w:t xml:space="preserve">measure </w:t>
            </w:r>
            <w:r w:rsidRPr="00B71D90">
              <w:t xml:space="preserve">results. </w:t>
            </w:r>
          </w:p>
        </w:tc>
      </w:tr>
      <w:tr w:rsidR="000B6E1F" w:rsidRPr="00B71D90" w:rsidTr="00EB79CC">
        <w:tc>
          <w:tcPr>
            <w:tcW w:w="2250" w:type="dxa"/>
          </w:tcPr>
          <w:p w:rsidR="000B6E1F" w:rsidRPr="00B71D90" w:rsidRDefault="00DD0657">
            <w:pPr>
              <w:pStyle w:val="MarginSubhead"/>
            </w:pPr>
            <w:r w:rsidRPr="00B71D90">
              <w:t xml:space="preserve">Final </w:t>
            </w:r>
            <w:r w:rsidR="00C82DCE" w:rsidRPr="00B71D90">
              <w:t>r</w:t>
            </w:r>
            <w:r w:rsidRPr="00B71D90">
              <w:t xml:space="preserve">ate </w:t>
            </w:r>
            <w:r w:rsidR="00C82DCE" w:rsidRPr="00B71D90">
              <w:t>r</w:t>
            </w:r>
            <w:r w:rsidRPr="00B71D90">
              <w:t>eview</w:t>
            </w:r>
          </w:p>
        </w:tc>
        <w:tc>
          <w:tcPr>
            <w:tcW w:w="7650" w:type="dxa"/>
          </w:tcPr>
          <w:p w:rsidR="000B6E1F" w:rsidRPr="00B71D90" w:rsidRDefault="00F51C6B" w:rsidP="00F51C6B">
            <w:pPr>
              <w:pStyle w:val="Body"/>
            </w:pPr>
            <w:r w:rsidRPr="00B71D90">
              <w:t>At the end of the audit</w:t>
            </w:r>
            <w:r w:rsidR="00DF06BD" w:rsidRPr="00B71D90">
              <w:t>,</w:t>
            </w:r>
            <w:r w:rsidRPr="00B71D90">
              <w:t xml:space="preserve"> final rates and results are compared to </w:t>
            </w:r>
            <w:r w:rsidR="004A3DBD" w:rsidRPr="00B71D90">
              <w:t>benchmark</w:t>
            </w:r>
            <w:r w:rsidRPr="00B71D90">
              <w:t>s,</w:t>
            </w:r>
            <w:r w:rsidR="00CC37FC" w:rsidRPr="00B71D90">
              <w:t xml:space="preserve"> </w:t>
            </w:r>
            <w:r w:rsidR="007F6A5F" w:rsidRPr="00B71D90">
              <w:t>prior year</w:t>
            </w:r>
            <w:r w:rsidR="00CC37FC" w:rsidRPr="00B71D90">
              <w:t>s</w:t>
            </w:r>
            <w:r w:rsidR="007F6A5F" w:rsidRPr="00B71D90">
              <w:t xml:space="preserve">’ data and national means and percentiles. All significant rate </w:t>
            </w:r>
            <w:r w:rsidR="00CC37FC" w:rsidRPr="00B71D90">
              <w:t xml:space="preserve">variations </w:t>
            </w:r>
            <w:r w:rsidR="007F6A5F" w:rsidRPr="00B71D90">
              <w:t>are noted</w:t>
            </w:r>
            <w:r w:rsidR="00CC37FC" w:rsidRPr="00B71D90">
              <w:t xml:space="preserve">, discussed and corrected if needed. </w:t>
            </w:r>
          </w:p>
        </w:tc>
      </w:tr>
      <w:tr w:rsidR="00803967" w:rsidRPr="00B71D90" w:rsidTr="00EB79CC">
        <w:tc>
          <w:tcPr>
            <w:tcW w:w="2250" w:type="dxa"/>
          </w:tcPr>
          <w:p w:rsidR="00803967" w:rsidRPr="00B71D90" w:rsidRDefault="00803967">
            <w:pPr>
              <w:pStyle w:val="MarginSubhead"/>
            </w:pPr>
            <w:r w:rsidRPr="00B71D90">
              <w:t xml:space="preserve">Audit </w:t>
            </w:r>
            <w:r w:rsidR="00461320" w:rsidRPr="00B71D90">
              <w:t>r</w:t>
            </w:r>
            <w:r w:rsidR="00CE07B3" w:rsidRPr="00B71D90">
              <w:t>esults</w:t>
            </w:r>
          </w:p>
        </w:tc>
        <w:tc>
          <w:tcPr>
            <w:tcW w:w="7650" w:type="dxa"/>
          </w:tcPr>
          <w:p w:rsidR="00803967" w:rsidRPr="00B71D90" w:rsidRDefault="00803967" w:rsidP="00D83E07">
            <w:pPr>
              <w:pStyle w:val="Body"/>
            </w:pPr>
            <w:r w:rsidRPr="00B71D90">
              <w:t xml:space="preserve">HEDIS </w:t>
            </w:r>
            <w:r w:rsidR="00A27F87" w:rsidRPr="00B71D90">
              <w:t>a</w:t>
            </w:r>
            <w:r w:rsidRPr="00B71D90">
              <w:t xml:space="preserve">udits result in </w:t>
            </w:r>
            <w:r w:rsidR="00CE07B3" w:rsidRPr="00B71D90">
              <w:t xml:space="preserve">audited rates or calculations </w:t>
            </w:r>
            <w:r w:rsidRPr="00B71D90">
              <w:t>at the measure level</w:t>
            </w:r>
            <w:r w:rsidR="00CE07B3" w:rsidRPr="00B71D90">
              <w:t xml:space="preserve"> </w:t>
            </w:r>
            <w:r w:rsidR="00D83E07" w:rsidRPr="00B71D90">
              <w:t xml:space="preserve">for each indicator </w:t>
            </w:r>
            <w:r w:rsidR="00CE07B3" w:rsidRPr="00B71D90">
              <w:t>and</w:t>
            </w:r>
            <w:r w:rsidRPr="00B71D90">
              <w:t xml:space="preserve"> </w:t>
            </w:r>
            <w:r w:rsidR="00D83E07" w:rsidRPr="00B71D90">
              <w:t xml:space="preserve">designate </w:t>
            </w:r>
            <w:r w:rsidR="00CE07B3" w:rsidRPr="00B71D90">
              <w:t xml:space="preserve">if </w:t>
            </w:r>
            <w:r w:rsidRPr="00B71D90">
              <w:t xml:space="preserve">measures </w:t>
            </w:r>
            <w:r w:rsidR="00CE07B3" w:rsidRPr="00B71D90">
              <w:t xml:space="preserve">can be </w:t>
            </w:r>
            <w:r w:rsidRPr="00B71D90">
              <w:t>public</w:t>
            </w:r>
            <w:r w:rsidR="00CE07B3" w:rsidRPr="00B71D90">
              <w:t>ly</w:t>
            </w:r>
            <w:r w:rsidRPr="00B71D90">
              <w:t xml:space="preserve"> report</w:t>
            </w:r>
            <w:r w:rsidR="00CE07B3" w:rsidRPr="00B71D90">
              <w:t>ed</w:t>
            </w:r>
            <w:r w:rsidRPr="00B71D90">
              <w:t xml:space="preserve">. All measures </w:t>
            </w:r>
            <w:r w:rsidR="00CE07B3" w:rsidRPr="00B71D90">
              <w:t xml:space="preserve">selected </w:t>
            </w:r>
            <w:r w:rsidR="000838F1" w:rsidRPr="00B71D90">
              <w:t>for</w:t>
            </w:r>
            <w:r w:rsidR="00CE07B3" w:rsidRPr="00B71D90">
              <w:t xml:space="preserve"> report</w:t>
            </w:r>
            <w:r w:rsidR="000838F1" w:rsidRPr="00B71D90">
              <w:t>ing</w:t>
            </w:r>
            <w:r w:rsidR="00CE07B3" w:rsidRPr="00B71D90">
              <w:t xml:space="preserve"> by the </w:t>
            </w:r>
            <w:r w:rsidR="006A4760" w:rsidRPr="00B71D90">
              <w:t>organization</w:t>
            </w:r>
            <w:r w:rsidR="00CE07B3" w:rsidRPr="00B71D90">
              <w:t xml:space="preserve"> have a final</w:t>
            </w:r>
            <w:r w:rsidR="00C73E1C" w:rsidRPr="00B71D90">
              <w:t>,</w:t>
            </w:r>
            <w:r w:rsidR="00CE07B3" w:rsidRPr="00B71D90">
              <w:t xml:space="preserve"> audit</w:t>
            </w:r>
            <w:r w:rsidR="00845D34" w:rsidRPr="00B71D90">
              <w:t>ed</w:t>
            </w:r>
            <w:r w:rsidR="00CE07B3" w:rsidRPr="00B71D90">
              <w:t xml:space="preserve"> result</w:t>
            </w:r>
            <w:r w:rsidR="009221AB" w:rsidRPr="00B71D90">
              <w:t>.</w:t>
            </w:r>
          </w:p>
        </w:tc>
      </w:tr>
      <w:tr w:rsidR="00803967" w:rsidRPr="00B71D90" w:rsidTr="00EB79CC">
        <w:tc>
          <w:tcPr>
            <w:tcW w:w="2250" w:type="dxa"/>
          </w:tcPr>
          <w:p w:rsidR="00803967" w:rsidRPr="00B71D90" w:rsidRDefault="00803967">
            <w:pPr>
              <w:pStyle w:val="MarginSubhead"/>
            </w:pPr>
            <w:r w:rsidRPr="00B71D90">
              <w:t>HEDIS data submission to NCQA</w:t>
            </w:r>
          </w:p>
        </w:tc>
        <w:tc>
          <w:tcPr>
            <w:tcW w:w="7650" w:type="dxa"/>
          </w:tcPr>
          <w:p w:rsidR="00803967" w:rsidRPr="00B71D90" w:rsidRDefault="005A3104" w:rsidP="00CB1C45">
            <w:pPr>
              <w:pStyle w:val="Body"/>
            </w:pPr>
            <w:r w:rsidRPr="00B71D90">
              <w:t>NCQA provides the Web-based</w:t>
            </w:r>
            <w:r w:rsidR="00C73E1C" w:rsidRPr="00B71D90">
              <w:t>,</w:t>
            </w:r>
            <w:r w:rsidRPr="00B71D90">
              <w:t xml:space="preserve"> Interactive Data Submission System (IDSS) for each </w:t>
            </w:r>
            <w:r w:rsidR="006A4760" w:rsidRPr="00B71D90">
              <w:t>organization</w:t>
            </w:r>
            <w:r w:rsidR="00803967" w:rsidRPr="00B71D90">
              <w:t xml:space="preserve"> submitting data to NCQA for accreditation, inclusion in the HEDIS database</w:t>
            </w:r>
            <w:r w:rsidR="00540704" w:rsidRPr="00B71D90">
              <w:t xml:space="preserve">, </w:t>
            </w:r>
            <w:r w:rsidR="00803967" w:rsidRPr="00B71D90">
              <w:t>public reporting</w:t>
            </w:r>
            <w:r w:rsidR="00540704" w:rsidRPr="00B71D90">
              <w:t xml:space="preserve"> or special NCQA projects</w:t>
            </w:r>
            <w:r w:rsidRPr="00B71D90">
              <w:t>.</w:t>
            </w:r>
            <w:r w:rsidR="005C11D2" w:rsidRPr="00B71D90">
              <w:t xml:space="preserve"> </w:t>
            </w:r>
          </w:p>
          <w:p w:rsidR="005F1E57" w:rsidRPr="00B71D90" w:rsidRDefault="005F1E57" w:rsidP="005F1E57">
            <w:pPr>
              <w:pStyle w:val="Note"/>
            </w:pPr>
            <w:r w:rsidRPr="00B71D90">
              <w:rPr>
                <w:b/>
              </w:rPr>
              <w:t>Note:</w:t>
            </w:r>
            <w:r w:rsidR="007E73E4" w:rsidRPr="00B71D90">
              <w:t xml:space="preserve"> D</w:t>
            </w:r>
            <w:r w:rsidR="005C11D2" w:rsidRPr="00B71D90">
              <w:t>ata submission tools for WHP and DM results are provided separately.</w:t>
            </w:r>
          </w:p>
        </w:tc>
      </w:tr>
      <w:tr w:rsidR="00E15CAF" w:rsidRPr="00B71D90" w:rsidTr="00EB79CC">
        <w:trPr>
          <w:cantSplit/>
        </w:trPr>
        <w:tc>
          <w:tcPr>
            <w:tcW w:w="2250" w:type="dxa"/>
          </w:tcPr>
          <w:p w:rsidR="00E15CAF" w:rsidRPr="00B71D90" w:rsidRDefault="00E15CAF">
            <w:pPr>
              <w:pStyle w:val="MarginSubhead"/>
            </w:pPr>
            <w:r w:rsidRPr="00B71D90">
              <w:t>Final</w:t>
            </w:r>
            <w:r w:rsidR="007D4070" w:rsidRPr="00B71D90">
              <w:t xml:space="preserve"> Audit</w:t>
            </w:r>
            <w:r w:rsidRPr="00B71D90">
              <w:t xml:space="preserve"> Report</w:t>
            </w:r>
          </w:p>
        </w:tc>
        <w:tc>
          <w:tcPr>
            <w:tcW w:w="7650" w:type="dxa"/>
          </w:tcPr>
          <w:p w:rsidR="00E15CAF" w:rsidRPr="00B71D90" w:rsidRDefault="00E15CAF" w:rsidP="00BF44A4">
            <w:pPr>
              <w:pStyle w:val="Body"/>
              <w:rPr>
                <w:i/>
              </w:rPr>
            </w:pPr>
            <w:r w:rsidRPr="00B71D90">
              <w:t xml:space="preserve">After the </w:t>
            </w:r>
            <w:r w:rsidR="006A4760" w:rsidRPr="00B71D90">
              <w:t>organization</w:t>
            </w:r>
            <w:r w:rsidRPr="00B71D90">
              <w:t xml:space="preserve"> provides all requested documents, performs the recommended corrective actions and submits the measure results, the auditor prepares the Final Audit Report and sends it to the </w:t>
            </w:r>
            <w:r w:rsidR="006A4760" w:rsidRPr="00B71D90">
              <w:t>organization</w:t>
            </w:r>
            <w:r w:rsidRPr="00B71D90">
              <w:t xml:space="preserve"> and </w:t>
            </w:r>
            <w:r w:rsidR="006456ED" w:rsidRPr="00B71D90">
              <w:t xml:space="preserve">to </w:t>
            </w:r>
            <w:r w:rsidRPr="00B71D90">
              <w:t>NCQA.</w:t>
            </w:r>
          </w:p>
        </w:tc>
      </w:tr>
    </w:tbl>
    <w:p w:rsidR="00803967" w:rsidRPr="00B71D90" w:rsidRDefault="00803967" w:rsidP="00CB1C45">
      <w:pPr>
        <w:pStyle w:val="StdHead"/>
        <w:rPr>
          <w:color w:val="auto"/>
        </w:rPr>
      </w:pPr>
      <w:r w:rsidRPr="00B71D90">
        <w:rPr>
          <w:color w:val="auto"/>
        </w:rPr>
        <w:t>Software Certification</w:t>
      </w:r>
    </w:p>
    <w:tbl>
      <w:tblPr>
        <w:tblW w:w="0" w:type="auto"/>
        <w:tblInd w:w="-72" w:type="dxa"/>
        <w:tblLayout w:type="fixed"/>
        <w:tblLook w:val="0000"/>
      </w:tblPr>
      <w:tblGrid>
        <w:gridCol w:w="2250"/>
        <w:gridCol w:w="7650"/>
      </w:tblGrid>
      <w:tr w:rsidR="000713CB" w:rsidRPr="00B71D90" w:rsidTr="00A66303">
        <w:trPr>
          <w:cantSplit/>
        </w:trPr>
        <w:tc>
          <w:tcPr>
            <w:tcW w:w="2250" w:type="dxa"/>
          </w:tcPr>
          <w:p w:rsidR="000713CB" w:rsidRPr="00B71D90" w:rsidRDefault="000713CB" w:rsidP="000713CB">
            <w:pPr>
              <w:pStyle w:val="MarginSubhead"/>
            </w:pPr>
            <w:r w:rsidRPr="00B71D90">
              <w:t xml:space="preserve">Vendor software </w:t>
            </w:r>
          </w:p>
        </w:tc>
        <w:tc>
          <w:tcPr>
            <w:tcW w:w="7650" w:type="dxa"/>
          </w:tcPr>
          <w:p w:rsidR="000713CB" w:rsidRPr="000713CB" w:rsidRDefault="000713CB" w:rsidP="00BF44A4">
            <w:pPr>
              <w:pStyle w:val="Body"/>
            </w:pPr>
            <w:r w:rsidRPr="000713CB">
              <w:t xml:space="preserve">In 2000, NCQA launched a HEDIS Software Certification Program and began Full Certification for vendors reporting complete HEDIS measure sets based on HEDIS Technical Specifications. </w:t>
            </w:r>
          </w:p>
          <w:p w:rsidR="000713CB" w:rsidRPr="000713CB" w:rsidRDefault="000713CB" w:rsidP="00BF44A4">
            <w:pPr>
              <w:pStyle w:val="Body"/>
            </w:pPr>
            <w:r w:rsidRPr="000713CB">
              <w:t xml:space="preserve">In 2004, NCQA began certifying vendors with HEDIS software packages that produce only a portion of the current measurement set. Many types of organizations purchase such software to meet specialized data reporting and quality improvement needs. </w:t>
            </w:r>
          </w:p>
          <w:p w:rsidR="000713CB" w:rsidRPr="00B71D90" w:rsidRDefault="000713CB" w:rsidP="00BF44A4">
            <w:pPr>
              <w:pStyle w:val="Body"/>
            </w:pPr>
            <w:r w:rsidRPr="000713CB">
              <w:t>To validate a vendor’s software, NCQA generates unique sets of sample data known as “test cases.” The vendor processes the test cases and sends the results to NCQA, where they are compared to the expected results to determine if the software computes HEDIS measures accurately.</w:t>
            </w:r>
          </w:p>
        </w:tc>
      </w:tr>
    </w:tbl>
    <w:p w:rsidR="008A7777" w:rsidRDefault="008A7777">
      <w:pPr>
        <w:sectPr w:rsidR="008A7777" w:rsidSect="00550D6B">
          <w:footnotePr>
            <w:numStart w:val="2"/>
          </w:footnotePr>
          <w:pgSz w:w="12240" w:h="15840" w:code="1"/>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70"/>
        <w:gridCol w:w="7830"/>
      </w:tblGrid>
      <w:tr w:rsidR="008A7777" w:rsidRPr="00B71D90" w:rsidTr="008A7777">
        <w:tc>
          <w:tcPr>
            <w:tcW w:w="2070" w:type="dxa"/>
            <w:tcBorders>
              <w:top w:val="nil"/>
              <w:left w:val="nil"/>
              <w:bottom w:val="nil"/>
              <w:right w:val="nil"/>
            </w:tcBorders>
          </w:tcPr>
          <w:p w:rsidR="008A7777" w:rsidRPr="00B71D90" w:rsidRDefault="008A7777" w:rsidP="00E86240">
            <w:pPr>
              <w:pStyle w:val="MarginSubhead"/>
              <w:ind w:left="180"/>
            </w:pPr>
          </w:p>
        </w:tc>
        <w:tc>
          <w:tcPr>
            <w:tcW w:w="7830" w:type="dxa"/>
            <w:tcBorders>
              <w:top w:val="nil"/>
              <w:left w:val="nil"/>
              <w:bottom w:val="nil"/>
              <w:right w:val="nil"/>
            </w:tcBorders>
          </w:tcPr>
          <w:p w:rsidR="008A7777" w:rsidRPr="00B71D90" w:rsidRDefault="008A7777" w:rsidP="008A7777">
            <w:pPr>
              <w:pStyle w:val="Body"/>
              <w:tabs>
                <w:tab w:val="left" w:pos="0"/>
              </w:tabs>
              <w:spacing w:before="0"/>
              <w:ind w:left="-90"/>
            </w:pPr>
            <w:r w:rsidRPr="00B71D90">
              <w:t xml:space="preserve">Vendors that achieve certification may advertise that they are NCQA Certified, according to the </w:t>
            </w:r>
            <w:r w:rsidRPr="00B71D90">
              <w:rPr>
                <w:i/>
              </w:rPr>
              <w:t xml:space="preserve">NCQA Advertising and Marketing Guidelines </w:t>
            </w:r>
            <w:r w:rsidRPr="00B71D90">
              <w:t>applicable to the certification program</w:t>
            </w:r>
            <w:r w:rsidRPr="00B71D90">
              <w:rPr>
                <w:i/>
              </w:rPr>
              <w:t>.</w:t>
            </w:r>
          </w:p>
        </w:tc>
      </w:tr>
      <w:tr w:rsidR="00803967" w:rsidRPr="00B71D90" w:rsidTr="008A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070" w:type="dxa"/>
          </w:tcPr>
          <w:p w:rsidR="00803967" w:rsidRPr="00B71D90" w:rsidRDefault="00803967">
            <w:pPr>
              <w:pStyle w:val="MarginSubhead"/>
            </w:pPr>
            <w:r w:rsidRPr="00B71D90">
              <w:t>Eligible groups</w:t>
            </w:r>
          </w:p>
        </w:tc>
        <w:tc>
          <w:tcPr>
            <w:tcW w:w="7830" w:type="dxa"/>
          </w:tcPr>
          <w:p w:rsidR="0006711C" w:rsidRPr="00B71D90" w:rsidRDefault="00A27F87" w:rsidP="008A7777">
            <w:pPr>
              <w:pStyle w:val="Body"/>
            </w:pPr>
            <w:r w:rsidRPr="00B71D90">
              <w:t>C</w:t>
            </w:r>
            <w:r w:rsidR="00803967" w:rsidRPr="00B71D90">
              <w:t xml:space="preserve">ertification </w:t>
            </w:r>
            <w:r w:rsidRPr="00B71D90">
              <w:t xml:space="preserve">is </w:t>
            </w:r>
            <w:r w:rsidR="00057621" w:rsidRPr="00B71D90">
              <w:t xml:space="preserve">available </w:t>
            </w:r>
            <w:r w:rsidR="00803967" w:rsidRPr="00B71D90">
              <w:t>to vendors that license or sell HEDIS</w:t>
            </w:r>
            <w:r w:rsidR="00814A78" w:rsidRPr="00B71D90">
              <w:t xml:space="preserve"> or</w:t>
            </w:r>
            <w:r w:rsidR="00177C55">
              <w:t xml:space="preserve"> Pay for Performance (</w:t>
            </w:r>
            <w:r w:rsidR="001051E4" w:rsidRPr="00B71D90">
              <w:t>P4P</w:t>
            </w:r>
            <w:r w:rsidR="00177C55">
              <w:t>)</w:t>
            </w:r>
            <w:r w:rsidR="00803967" w:rsidRPr="00B71D90">
              <w:t xml:space="preserve"> software applications. </w:t>
            </w:r>
            <w:r w:rsidR="005A3387" w:rsidRPr="00B71D90">
              <w:t>Automated source code review (</w:t>
            </w:r>
            <w:r w:rsidR="00C8254A" w:rsidRPr="00B71D90">
              <w:t>ASCR</w:t>
            </w:r>
            <w:r w:rsidR="005A3387" w:rsidRPr="00B71D90">
              <w:t>)</w:t>
            </w:r>
            <w:r w:rsidR="006A32C4" w:rsidRPr="00B71D90">
              <w:t xml:space="preserve"> is available to any </w:t>
            </w:r>
            <w:r w:rsidR="006A4760" w:rsidRPr="00B71D90">
              <w:t>organization</w:t>
            </w:r>
            <w:r w:rsidR="006A32C4" w:rsidRPr="00B71D90">
              <w:t xml:space="preserve"> that develops its own software.</w:t>
            </w:r>
          </w:p>
        </w:tc>
      </w:tr>
      <w:tr w:rsidR="00803967" w:rsidRPr="00B71D90" w:rsidTr="008A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070" w:type="dxa"/>
          </w:tcPr>
          <w:p w:rsidR="00803967" w:rsidRPr="00B71D90" w:rsidRDefault="00803967">
            <w:pPr>
              <w:pStyle w:val="MarginSubhead"/>
            </w:pPr>
            <w:r w:rsidRPr="00B71D90">
              <w:t>Measures included in certification</w:t>
            </w:r>
          </w:p>
        </w:tc>
        <w:tc>
          <w:tcPr>
            <w:tcW w:w="7830" w:type="dxa"/>
          </w:tcPr>
          <w:p w:rsidR="00803967" w:rsidRPr="00B71D90" w:rsidRDefault="00803967">
            <w:pPr>
              <w:pStyle w:val="Body"/>
            </w:pPr>
            <w:r w:rsidRPr="00B71D90">
              <w:t>Certification applies to a vendor’s overall HEDIS software package</w:t>
            </w:r>
            <w:r w:rsidR="00F75BAB" w:rsidRPr="00B71D90">
              <w:t xml:space="preserve">, but </w:t>
            </w:r>
            <w:r w:rsidRPr="00B71D90">
              <w:t xml:space="preserve">testing is conducted on measure-specific source code. </w:t>
            </w:r>
          </w:p>
          <w:p w:rsidR="00AC621B" w:rsidRPr="00B71D90" w:rsidRDefault="00803967" w:rsidP="001350D9">
            <w:pPr>
              <w:pStyle w:val="Body"/>
            </w:pPr>
            <w:r w:rsidRPr="00B71D90">
              <w:t xml:space="preserve">Certification applies to only HEDIS measures typically programmed in commercial software applications; it does not extend to measures based on customized processes or manual procedures. </w:t>
            </w:r>
            <w:r w:rsidR="00F75BAB" w:rsidRPr="00B71D90">
              <w:t xml:space="preserve">Refer to Appendix </w:t>
            </w:r>
            <w:r w:rsidR="001350D9">
              <w:t>9</w:t>
            </w:r>
            <w:r w:rsidR="001350D9" w:rsidRPr="00B71D90">
              <w:t xml:space="preserve"> </w:t>
            </w:r>
            <w:r w:rsidR="00F75BAB" w:rsidRPr="00B71D90">
              <w:t>for m</w:t>
            </w:r>
            <w:r w:rsidRPr="00B71D90">
              <w:t xml:space="preserve">easures and processes included in </w:t>
            </w:r>
            <w:r w:rsidR="00C73E1C" w:rsidRPr="00B71D90">
              <w:t xml:space="preserve">and excluded from </w:t>
            </w:r>
            <w:r w:rsidRPr="00B71D90">
              <w:t>software certification</w:t>
            </w:r>
            <w:r w:rsidR="000D59A4" w:rsidRPr="00B71D90">
              <w:t>.</w:t>
            </w:r>
          </w:p>
        </w:tc>
      </w:tr>
      <w:tr w:rsidR="004507B9" w:rsidRPr="00B71D90" w:rsidTr="008A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070" w:type="dxa"/>
            <w:tcBorders>
              <w:bottom w:val="nil"/>
            </w:tcBorders>
          </w:tcPr>
          <w:p w:rsidR="004507B9" w:rsidRPr="00B71D90" w:rsidRDefault="004507B9" w:rsidP="008A7777">
            <w:pPr>
              <w:pStyle w:val="MarginSubhead"/>
            </w:pPr>
            <w:r w:rsidRPr="00B71D90">
              <w:t xml:space="preserve">Achieving certification </w:t>
            </w:r>
          </w:p>
        </w:tc>
        <w:tc>
          <w:tcPr>
            <w:tcW w:w="7830" w:type="dxa"/>
          </w:tcPr>
          <w:p w:rsidR="004507B9" w:rsidRPr="00B71D90" w:rsidRDefault="004507B9" w:rsidP="008A7777">
            <w:pPr>
              <w:pStyle w:val="Body"/>
            </w:pPr>
            <w:r w:rsidRPr="00B71D90">
              <w:t xml:space="preserve">A vendor </w:t>
            </w:r>
            <w:r w:rsidR="007C23C3" w:rsidRPr="00B71D90">
              <w:t>earn</w:t>
            </w:r>
            <w:r w:rsidRPr="00B71D90">
              <w:t xml:space="preserve">s certification when </w:t>
            </w:r>
            <w:r w:rsidR="004C3B48" w:rsidRPr="00B71D90">
              <w:t>100</w:t>
            </w:r>
            <w:r w:rsidRPr="00B71D90">
              <w:t xml:space="preserve"> percent of the measure</w:t>
            </w:r>
            <w:r w:rsidR="004C3B48" w:rsidRPr="00B71D90">
              <w:t xml:space="preserve"> set </w:t>
            </w:r>
            <w:r w:rsidRPr="00B71D90">
              <w:t>receive</w:t>
            </w:r>
            <w:r w:rsidR="004C3B48" w:rsidRPr="00B71D90">
              <w:t>s</w:t>
            </w:r>
            <w:r w:rsidRPr="00B71D90">
              <w:t xml:space="preserve"> a </w:t>
            </w:r>
            <w:r w:rsidRPr="00B71D90">
              <w:rPr>
                <w:i/>
              </w:rPr>
              <w:t>Pass</w:t>
            </w:r>
            <w:r w:rsidRPr="00B71D90">
              <w:t xml:space="preserve"> or </w:t>
            </w:r>
            <w:r w:rsidRPr="00B71D90">
              <w:rPr>
                <w:i/>
              </w:rPr>
              <w:t xml:space="preserve">Pass With Qualifications </w:t>
            </w:r>
            <w:r w:rsidRPr="00B71D90">
              <w:t xml:space="preserve">status. </w:t>
            </w:r>
            <w:r w:rsidR="007C23C3" w:rsidRPr="00B71D90">
              <w:t>The vendor</w:t>
            </w:r>
            <w:r w:rsidRPr="00B71D90">
              <w:t xml:space="preserve"> receive</w:t>
            </w:r>
            <w:r w:rsidR="00D53B16" w:rsidRPr="00B71D90">
              <w:t>s</w:t>
            </w:r>
            <w:r w:rsidRPr="00B71D90">
              <w:t xml:space="preserve"> a Certification Report that shows the status of each measure tested. An </w:t>
            </w:r>
            <w:r w:rsidR="006A4760" w:rsidRPr="00B71D90">
              <w:t>organization</w:t>
            </w:r>
            <w:r w:rsidRPr="00B71D90">
              <w:t xml:space="preserve"> that uses certified vendor software should request a copy of the vendor’s Certification Report. Auditors get a copy of this report from </w:t>
            </w:r>
            <w:r w:rsidR="00871BC1" w:rsidRPr="00B71D90">
              <w:t>NCQA</w:t>
            </w:r>
            <w:r w:rsidR="009F7C10" w:rsidRPr="00B71D90">
              <w:t>.</w:t>
            </w:r>
            <w:r w:rsidR="00D53B16" w:rsidRPr="00B71D90">
              <w:t xml:space="preserve"> </w:t>
            </w:r>
            <w:r w:rsidR="009F7C10" w:rsidRPr="00B71D90">
              <w:t>T</w:t>
            </w:r>
            <w:r w:rsidRPr="00B71D90">
              <w:t>he NCQA Web site list</w:t>
            </w:r>
            <w:r w:rsidR="007C23C3" w:rsidRPr="00B71D90">
              <w:t>s certified</w:t>
            </w:r>
            <w:r w:rsidRPr="00B71D90">
              <w:t xml:space="preserve"> vendors.</w:t>
            </w:r>
          </w:p>
        </w:tc>
      </w:tr>
      <w:tr w:rsidR="004507B9" w:rsidRPr="00B71D90" w:rsidTr="008A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070" w:type="dxa"/>
          </w:tcPr>
          <w:p w:rsidR="004507B9" w:rsidRPr="00B71D90" w:rsidRDefault="004507B9" w:rsidP="00602EDA">
            <w:pPr>
              <w:pStyle w:val="MarginSubhead"/>
            </w:pPr>
            <w:r w:rsidRPr="00B71D90">
              <w:t xml:space="preserve">Certification and </w:t>
            </w:r>
            <w:r w:rsidRPr="00B71D90">
              <w:br/>
              <w:t>the audit</w:t>
            </w:r>
          </w:p>
        </w:tc>
        <w:tc>
          <w:tcPr>
            <w:tcW w:w="7830" w:type="dxa"/>
          </w:tcPr>
          <w:p w:rsidR="004507B9" w:rsidRPr="00B71D90" w:rsidRDefault="004507B9" w:rsidP="00602EDA">
            <w:pPr>
              <w:pStyle w:val="Body"/>
            </w:pPr>
            <w:r w:rsidRPr="00B71D90">
              <w:t xml:space="preserve">The Certified Auditor should evaluate each vendor’s Certification Report and determine the status of the measures tested. </w:t>
            </w:r>
            <w:r w:rsidR="00C675AD" w:rsidRPr="00B71D90">
              <w:t xml:space="preserve">Any </w:t>
            </w:r>
            <w:r w:rsidRPr="00B71D90">
              <w:t xml:space="preserve">decision to </w:t>
            </w:r>
            <w:r w:rsidR="00A300AF" w:rsidRPr="00B71D90">
              <w:t xml:space="preserve">report </w:t>
            </w:r>
            <w:r w:rsidR="005713D5" w:rsidRPr="00B71D90">
              <w:t xml:space="preserve">rates for </w:t>
            </w:r>
            <w:r w:rsidRPr="00B71D90">
              <w:t xml:space="preserve">measures that received a </w:t>
            </w:r>
            <w:r w:rsidRPr="00B71D90">
              <w:rPr>
                <w:i/>
              </w:rPr>
              <w:t>Pass With Qualifications</w:t>
            </w:r>
            <w:r w:rsidRPr="00B71D90">
              <w:t xml:space="preserve"> or </w:t>
            </w:r>
            <w:r w:rsidRPr="00B71D90">
              <w:rPr>
                <w:i/>
              </w:rPr>
              <w:t>Fail</w:t>
            </w:r>
            <w:r w:rsidRPr="00B71D90">
              <w:t xml:space="preserve"> status</w:t>
            </w:r>
            <w:r w:rsidR="00C675AD" w:rsidRPr="00B71D90">
              <w:t xml:space="preserve"> must be documented by the auditor in the Final Audit Report</w:t>
            </w:r>
            <w:r w:rsidRPr="00B71D90">
              <w:t xml:space="preserve">. </w:t>
            </w:r>
          </w:p>
          <w:p w:rsidR="004507B9" w:rsidRPr="00B71D90" w:rsidRDefault="00EB01A5" w:rsidP="00EB01A5">
            <w:pPr>
              <w:pStyle w:val="Body"/>
            </w:pPr>
            <w:r w:rsidRPr="00B71D90">
              <w:t>Specific audit processes affected by software certification are noted t</w:t>
            </w:r>
            <w:r w:rsidR="004507B9" w:rsidRPr="00B71D90">
              <w:t>hroughout this volume.</w:t>
            </w:r>
          </w:p>
        </w:tc>
      </w:tr>
      <w:tr w:rsidR="00497885" w:rsidRPr="00B71D90" w:rsidTr="008A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070" w:type="dxa"/>
          </w:tcPr>
          <w:p w:rsidR="00497885" w:rsidRPr="00B71D90" w:rsidRDefault="00497885" w:rsidP="00497885">
            <w:pPr>
              <w:pStyle w:val="MarginSubhead"/>
            </w:pPr>
            <w:r w:rsidRPr="00B71D90">
              <w:t>ASCR and the audit</w:t>
            </w:r>
          </w:p>
        </w:tc>
        <w:tc>
          <w:tcPr>
            <w:tcW w:w="7830" w:type="dxa"/>
          </w:tcPr>
          <w:p w:rsidR="00497885" w:rsidRPr="00B71D90" w:rsidRDefault="00497885" w:rsidP="006D2898">
            <w:pPr>
              <w:pStyle w:val="Body"/>
            </w:pPr>
            <w:r w:rsidRPr="00B71D90">
              <w:rPr>
                <w:rFonts w:cs="Arial"/>
                <w:szCs w:val="20"/>
              </w:rPr>
              <w:t xml:space="preserve">NCQA </w:t>
            </w:r>
            <w:r>
              <w:rPr>
                <w:rFonts w:cs="Arial"/>
                <w:szCs w:val="20"/>
              </w:rPr>
              <w:t xml:space="preserve">uses ASCR to </w:t>
            </w:r>
            <w:r w:rsidRPr="00B71D90">
              <w:rPr>
                <w:rFonts w:cs="Arial"/>
                <w:szCs w:val="20"/>
              </w:rPr>
              <w:t xml:space="preserve">test organizations’ in-house HEDIS programs. In this audit process, NCQA works with a Licensed Organization to apply the test-deck method to a selection of measures programmed by the organization. </w:t>
            </w:r>
            <w:r w:rsidR="004C35CC" w:rsidRPr="00B71D90">
              <w:t xml:space="preserve">The process can be used for a portion of the core set measures or all measures in the core set. Testing results are sent to the auditor and can substitute for the HD </w:t>
            </w:r>
            <w:r w:rsidR="004C35CC">
              <w:t>g</w:t>
            </w:r>
            <w:r w:rsidR="004C35CC" w:rsidRPr="00B71D90">
              <w:t xml:space="preserve">rids. </w:t>
            </w:r>
            <w:r>
              <w:rPr>
                <w:rFonts w:cs="Arial"/>
                <w:szCs w:val="20"/>
              </w:rPr>
              <w:t>ASCR</w:t>
            </w:r>
            <w:r w:rsidRPr="00B71D90">
              <w:rPr>
                <w:rFonts w:cs="Arial"/>
                <w:szCs w:val="20"/>
              </w:rPr>
              <w:t xml:space="preserve"> </w:t>
            </w:r>
            <w:r>
              <w:rPr>
                <w:rFonts w:cs="Arial"/>
                <w:szCs w:val="20"/>
              </w:rPr>
              <w:t>replaces</w:t>
            </w:r>
            <w:r w:rsidRPr="00B71D90">
              <w:rPr>
                <w:rFonts w:cs="Arial"/>
                <w:szCs w:val="20"/>
              </w:rPr>
              <w:t xml:space="preserve"> manual source code review; measures that pass satisfy the requirements for the core set review.</w:t>
            </w:r>
          </w:p>
          <w:p w:rsidR="00497885" w:rsidRPr="00B71D90" w:rsidRDefault="00497885" w:rsidP="004C35CC">
            <w:pPr>
              <w:pStyle w:val="Body"/>
            </w:pPr>
            <w:r w:rsidRPr="00B71D90">
              <w:t>ASCR applies to only HEDIS measures typically programmed in software applications; it does not extend to measures based on customized processes or manual procedures. Refer to Appendix 9 for measures and processes included in and excluded from software certification.</w:t>
            </w:r>
          </w:p>
        </w:tc>
      </w:tr>
    </w:tbl>
    <w:p w:rsidR="008A7777" w:rsidRDefault="008A7777" w:rsidP="008A7777">
      <w:pPr>
        <w:sectPr w:rsidR="008A7777" w:rsidSect="00550D6B">
          <w:footnotePr>
            <w:numStart w:val="2"/>
          </w:footnotePr>
          <w:pgSz w:w="12240" w:h="15840" w:code="1"/>
          <w:pgMar w:top="1080" w:right="1080" w:bottom="1080" w:left="1440" w:header="720" w:footer="720" w:gutter="0"/>
          <w:cols w:space="720"/>
        </w:sectPr>
      </w:pPr>
    </w:p>
    <w:p w:rsidR="00E86F66" w:rsidRPr="00B71D90" w:rsidRDefault="00E86F66" w:rsidP="008A7777">
      <w:pPr>
        <w:pStyle w:val="StdHead"/>
        <w:spacing w:before="0"/>
        <w:rPr>
          <w:color w:val="auto"/>
        </w:rPr>
      </w:pPr>
      <w:r w:rsidRPr="00B71D90">
        <w:rPr>
          <w:color w:val="auto"/>
        </w:rPr>
        <w:lastRenderedPageBreak/>
        <w:t>Survey-Only Audits</w:t>
      </w:r>
    </w:p>
    <w:p w:rsidR="00E86F66" w:rsidRPr="00B71D90" w:rsidRDefault="009F7C10" w:rsidP="00E86F66">
      <w:pPr>
        <w:pStyle w:val="Body"/>
        <w:numPr>
          <w:ilvl w:val="12"/>
          <w:numId w:val="0"/>
        </w:numPr>
      </w:pPr>
      <w:r w:rsidRPr="00B71D90">
        <w:t>S</w:t>
      </w:r>
      <w:r w:rsidR="00E86F66" w:rsidRPr="00B71D90">
        <w:t xml:space="preserve">pecific audit requirements </w:t>
      </w:r>
      <w:r w:rsidRPr="00B71D90">
        <w:t>apply to</w:t>
      </w:r>
      <w:r w:rsidR="00E86F66" w:rsidRPr="00B71D90">
        <w:t xml:space="preserve"> organizations that report only the CAHPS Health Plan Survey </w:t>
      </w:r>
      <w:r w:rsidR="003E2569">
        <w:t>5</w:t>
      </w:r>
      <w:r w:rsidR="00E86F66" w:rsidRPr="00B71D90">
        <w:t xml:space="preserve">.0H, Adult Version, or </w:t>
      </w:r>
      <w:r w:rsidR="002023CC" w:rsidRPr="00B71D90">
        <w:t xml:space="preserve">the </w:t>
      </w:r>
      <w:r w:rsidR="00E86F66" w:rsidRPr="00B71D90">
        <w:t xml:space="preserve">CAHPS Health Plan Survey </w:t>
      </w:r>
      <w:r w:rsidR="003E2569">
        <w:t>5</w:t>
      </w:r>
      <w:r w:rsidR="00E86F66" w:rsidRPr="00B71D90">
        <w:t>.0H, Child Version.</w:t>
      </w:r>
    </w:p>
    <w:tbl>
      <w:tblPr>
        <w:tblW w:w="0" w:type="auto"/>
        <w:tblInd w:w="-72" w:type="dxa"/>
        <w:tblLayout w:type="fixed"/>
        <w:tblLook w:val="0000"/>
      </w:tblPr>
      <w:tblGrid>
        <w:gridCol w:w="2070"/>
        <w:gridCol w:w="7830"/>
      </w:tblGrid>
      <w:tr w:rsidR="00E86F66" w:rsidRPr="00B71D90" w:rsidTr="00497885">
        <w:trPr>
          <w:cantSplit/>
        </w:trPr>
        <w:tc>
          <w:tcPr>
            <w:tcW w:w="2070" w:type="dxa"/>
          </w:tcPr>
          <w:p w:rsidR="00E86F66" w:rsidRPr="00B71D90" w:rsidRDefault="00E86F66" w:rsidP="008E13D0">
            <w:pPr>
              <w:pStyle w:val="MarginSubhead"/>
            </w:pPr>
            <w:r w:rsidRPr="00B71D90">
              <w:t>Organization completes the HEDIS Roadmap</w:t>
            </w:r>
          </w:p>
        </w:tc>
        <w:tc>
          <w:tcPr>
            <w:tcW w:w="7830" w:type="dxa"/>
          </w:tcPr>
          <w:p w:rsidR="00E86F66" w:rsidRPr="00B71D90" w:rsidRDefault="00E86F66" w:rsidP="008E13D0">
            <w:pPr>
              <w:pStyle w:val="Body"/>
            </w:pPr>
            <w:r w:rsidRPr="00B71D90">
              <w:t xml:space="preserve">The organization must provide basic information. </w:t>
            </w:r>
          </w:p>
          <w:p w:rsidR="00E86F66" w:rsidRPr="00B71D90" w:rsidRDefault="00E86F66" w:rsidP="00637CA1">
            <w:pPr>
              <w:pStyle w:val="Bullet"/>
            </w:pPr>
            <w:r w:rsidRPr="00B71D90">
              <w:t>HEDIS Roadmap General Information and Section 2, indicating:</w:t>
            </w:r>
          </w:p>
          <w:p w:rsidR="00E86F66" w:rsidRPr="00B71D90" w:rsidRDefault="00E86F66" w:rsidP="008E13D0">
            <w:pPr>
              <w:pStyle w:val="Dash"/>
            </w:pPr>
            <w:r w:rsidRPr="00B71D90">
              <w:t>Surveys being collected</w:t>
            </w:r>
            <w:r w:rsidR="00080B63">
              <w:t>.</w:t>
            </w:r>
          </w:p>
          <w:p w:rsidR="00E86F66" w:rsidRPr="00B71D90" w:rsidRDefault="00E86F66" w:rsidP="008E13D0">
            <w:pPr>
              <w:pStyle w:val="Dash"/>
            </w:pPr>
            <w:r w:rsidRPr="00B71D90">
              <w:t>Product line</w:t>
            </w:r>
            <w:r w:rsidR="00E446B3" w:rsidRPr="00B71D90">
              <w:t>s</w:t>
            </w:r>
            <w:r w:rsidR="00080B63">
              <w:t>.</w:t>
            </w:r>
          </w:p>
          <w:p w:rsidR="00E86F66" w:rsidRPr="00B71D90" w:rsidRDefault="00E86F66" w:rsidP="008E13D0">
            <w:pPr>
              <w:pStyle w:val="Dash"/>
            </w:pPr>
            <w:r w:rsidRPr="00B71D90">
              <w:t>Vendor administering survey</w:t>
            </w:r>
            <w:r w:rsidR="00080B63">
              <w:t>.</w:t>
            </w:r>
          </w:p>
          <w:p w:rsidR="00E446B3" w:rsidRPr="00B71D90" w:rsidRDefault="00E86F66" w:rsidP="00E446B3">
            <w:pPr>
              <w:pStyle w:val="Dash"/>
            </w:pPr>
            <w:r w:rsidRPr="00B71D90">
              <w:t>Estimated eligible population</w:t>
            </w:r>
            <w:r w:rsidR="00EB01A5" w:rsidRPr="00B71D90">
              <w:t>.</w:t>
            </w:r>
          </w:p>
        </w:tc>
      </w:tr>
      <w:tr w:rsidR="00E86F66" w:rsidRPr="00B71D90" w:rsidTr="00497885">
        <w:trPr>
          <w:cantSplit/>
        </w:trPr>
        <w:tc>
          <w:tcPr>
            <w:tcW w:w="2070" w:type="dxa"/>
          </w:tcPr>
          <w:p w:rsidR="00E86F66" w:rsidRPr="00B71D90" w:rsidRDefault="00E86F66" w:rsidP="008E13D0">
            <w:pPr>
              <w:pStyle w:val="MarginSubhead"/>
            </w:pPr>
            <w:r w:rsidRPr="00B71D90">
              <w:t xml:space="preserve">Organization submits data to </w:t>
            </w:r>
            <w:r w:rsidRPr="00B71D90">
              <w:br/>
              <w:t>the auditor</w:t>
            </w:r>
          </w:p>
        </w:tc>
        <w:tc>
          <w:tcPr>
            <w:tcW w:w="7830" w:type="dxa"/>
          </w:tcPr>
          <w:p w:rsidR="00E86F66" w:rsidRPr="00B71D90" w:rsidRDefault="00E86F66" w:rsidP="008E13D0">
            <w:pPr>
              <w:pStyle w:val="Body"/>
              <w:numPr>
                <w:ilvl w:val="12"/>
                <w:numId w:val="0"/>
              </w:numPr>
            </w:pPr>
            <w:r w:rsidRPr="00B71D90">
              <w:t>The organization must provide enough data and documents for the auditor to evaluate the survey sample frame:</w:t>
            </w:r>
          </w:p>
          <w:p w:rsidR="00E86F66" w:rsidRPr="00B71D90" w:rsidRDefault="00E86F66" w:rsidP="00E86F66">
            <w:pPr>
              <w:pStyle w:val="Bullet"/>
            </w:pPr>
            <w:r w:rsidRPr="00B71D90">
              <w:t>Program code used to populate sample frame or software vendor’s certification report</w:t>
            </w:r>
            <w:r w:rsidR="00EC6E21">
              <w:t>.</w:t>
            </w:r>
          </w:p>
          <w:p w:rsidR="00E86F66" w:rsidRPr="00B71D90" w:rsidRDefault="00E86F66" w:rsidP="00E86F66">
            <w:pPr>
              <w:pStyle w:val="Bullet"/>
            </w:pPr>
            <w:r w:rsidRPr="00B71D90">
              <w:t>Complete sample frame data</w:t>
            </w:r>
            <w:r w:rsidR="00EC6E21">
              <w:t>.</w:t>
            </w:r>
          </w:p>
          <w:p w:rsidR="00E86F66" w:rsidRPr="00B71D90" w:rsidRDefault="00E86F66" w:rsidP="00E86F66">
            <w:pPr>
              <w:pStyle w:val="Bullet"/>
            </w:pPr>
            <w:r w:rsidRPr="00B71D90">
              <w:t>Screen prints from membership system</w:t>
            </w:r>
            <w:r w:rsidR="00EB01A5" w:rsidRPr="00B71D90">
              <w:t>.</w:t>
            </w:r>
          </w:p>
        </w:tc>
      </w:tr>
      <w:tr w:rsidR="00E86F66" w:rsidRPr="00B71D90" w:rsidTr="00497885">
        <w:tc>
          <w:tcPr>
            <w:tcW w:w="2070" w:type="dxa"/>
          </w:tcPr>
          <w:p w:rsidR="00E86F66" w:rsidRPr="00B71D90" w:rsidRDefault="00E86F66" w:rsidP="00E57889">
            <w:pPr>
              <w:pStyle w:val="MarginSubhead"/>
            </w:pPr>
            <w:r w:rsidRPr="00B71D90">
              <w:t>Auditor validates sample frames</w:t>
            </w:r>
          </w:p>
        </w:tc>
        <w:tc>
          <w:tcPr>
            <w:tcW w:w="7830" w:type="dxa"/>
          </w:tcPr>
          <w:p w:rsidR="00E86F66" w:rsidRPr="00B71D90" w:rsidRDefault="00E86F66" w:rsidP="00E57889">
            <w:pPr>
              <w:pStyle w:val="Body"/>
              <w:numPr>
                <w:ilvl w:val="12"/>
                <w:numId w:val="0"/>
              </w:numPr>
            </w:pPr>
            <w:r w:rsidRPr="00B71D90">
              <w:t>The auditor can conduct conference calls and review all components of the survey sample frame without conducting an onsite visit</w:t>
            </w:r>
            <w:r w:rsidR="002023CC" w:rsidRPr="00B71D90">
              <w:t>, but</w:t>
            </w:r>
            <w:r w:rsidRPr="00B71D90">
              <w:t xml:space="preserve"> the review must include all aspects of the project and be thorough enough for the auditor to approve the release of the sample frame to the survey vendor. The auditor should perform the f</w:t>
            </w:r>
            <w:r w:rsidR="00C95364">
              <w:t>ollowing tasks, as appropriate:</w:t>
            </w:r>
          </w:p>
          <w:p w:rsidR="00E86F66" w:rsidRPr="00EC6E21" w:rsidRDefault="00E86F66" w:rsidP="00EC6E21">
            <w:pPr>
              <w:pStyle w:val="Bullet"/>
            </w:pPr>
            <w:r w:rsidRPr="00EC6E21">
              <w:t>Review the HEDIS Roadmap for complete information need</w:t>
            </w:r>
            <w:r w:rsidR="002023CC" w:rsidRPr="00EC6E21">
              <w:t>ed</w:t>
            </w:r>
            <w:r w:rsidRPr="00EC6E21">
              <w:t xml:space="preserve"> for the survey</w:t>
            </w:r>
            <w:r w:rsidR="00EC6E21" w:rsidRPr="00EC6E21">
              <w:t>.</w:t>
            </w:r>
          </w:p>
          <w:p w:rsidR="00E86F66" w:rsidRPr="00EC6E21" w:rsidRDefault="00E86F66" w:rsidP="00EC6E21">
            <w:pPr>
              <w:pStyle w:val="Bullet"/>
            </w:pPr>
            <w:r w:rsidRPr="00EC6E21">
              <w:t>Review all program code used to create the sample frame or software vendor’s certification report</w:t>
            </w:r>
            <w:r w:rsidR="00EC6E21" w:rsidRPr="00EC6E21">
              <w:t>.</w:t>
            </w:r>
          </w:p>
          <w:p w:rsidR="00E86F66" w:rsidRPr="00EC6E21" w:rsidRDefault="00E86F66" w:rsidP="00EC6E21">
            <w:pPr>
              <w:pStyle w:val="Bullet"/>
            </w:pPr>
            <w:r w:rsidRPr="00EC6E21">
              <w:t>Review complete sample frame data to determine conformance with specifications; layout and content</w:t>
            </w:r>
            <w:r w:rsidR="00EC6E21" w:rsidRPr="00EC6E21">
              <w:t>.</w:t>
            </w:r>
          </w:p>
          <w:p w:rsidR="00E86F66" w:rsidRPr="00B71D90" w:rsidRDefault="00E86F66" w:rsidP="00EC6E21">
            <w:pPr>
              <w:pStyle w:val="Bullet"/>
            </w:pPr>
            <w:r w:rsidRPr="00EC6E21">
              <w:t>Review</w:t>
            </w:r>
            <w:r w:rsidRPr="00B71D90">
              <w:t xml:space="preserve"> data system processes, including:</w:t>
            </w:r>
          </w:p>
          <w:p w:rsidR="00E86F66" w:rsidRPr="00EC6E21" w:rsidRDefault="00E86F66" w:rsidP="00EC6E21">
            <w:pPr>
              <w:pStyle w:val="Dash"/>
            </w:pPr>
            <w:r w:rsidRPr="00EC6E21">
              <w:t>Membership system logs</w:t>
            </w:r>
            <w:r w:rsidR="00080B63">
              <w:t>.</w:t>
            </w:r>
          </w:p>
          <w:p w:rsidR="00E86F66" w:rsidRPr="00EC6E21" w:rsidRDefault="00E86F66" w:rsidP="00EC6E21">
            <w:pPr>
              <w:pStyle w:val="Dash"/>
            </w:pPr>
            <w:r w:rsidRPr="00EC6E21">
              <w:t>Process and procedure manuals</w:t>
            </w:r>
            <w:r w:rsidR="00080B63">
              <w:t>.</w:t>
            </w:r>
          </w:p>
          <w:p w:rsidR="00E86F66" w:rsidRPr="00EC6E21" w:rsidRDefault="00E86F66" w:rsidP="00EC6E21">
            <w:pPr>
              <w:pStyle w:val="Dash"/>
            </w:pPr>
            <w:r w:rsidRPr="00EC6E21">
              <w:t>Remote system demonstrations, if possible</w:t>
            </w:r>
            <w:r w:rsidR="00EC6E21" w:rsidRPr="00EC6E21">
              <w:t>.</w:t>
            </w:r>
          </w:p>
          <w:p w:rsidR="00E86F66" w:rsidRPr="00B71D90" w:rsidRDefault="00E86F66" w:rsidP="00EC6E21">
            <w:pPr>
              <w:pStyle w:val="Bullet"/>
            </w:pPr>
            <w:r w:rsidRPr="00B71D90">
              <w:t>Prepare and request specific data queries</w:t>
            </w:r>
            <w:r w:rsidR="00EC6E21">
              <w:t>.</w:t>
            </w:r>
          </w:p>
          <w:p w:rsidR="004D4877" w:rsidRPr="00B71D90" w:rsidRDefault="00E86F66" w:rsidP="00497885">
            <w:pPr>
              <w:pStyle w:val="Body"/>
            </w:pPr>
            <w:r w:rsidRPr="00B71D90">
              <w:t>As in any other type of HEDIS audit, the auditor asks for sufficient information and any corrective actions needed to approve the data for release. This type of audit also results in a formal notification of the results for each survey sample frame reviewed and a Final Audit Report and Statement.</w:t>
            </w:r>
          </w:p>
        </w:tc>
      </w:tr>
    </w:tbl>
    <w:p w:rsidR="002C6599" w:rsidRPr="00B71D90" w:rsidRDefault="002C6599" w:rsidP="008B0C0F">
      <w:pPr>
        <w:pStyle w:val="SubHead"/>
        <w:spacing w:before="240"/>
        <w:rPr>
          <w:i/>
        </w:rPr>
      </w:pPr>
      <w:r w:rsidRPr="00B71D90">
        <w:rPr>
          <w:i/>
        </w:rPr>
        <w:t xml:space="preserve">Note </w:t>
      </w:r>
    </w:p>
    <w:p w:rsidR="002C6599" w:rsidRPr="00B71D90" w:rsidRDefault="004439CF" w:rsidP="00A66303">
      <w:pPr>
        <w:pStyle w:val="ProcessBullet"/>
        <w:rPr>
          <w:i/>
        </w:rPr>
      </w:pPr>
      <w:r w:rsidRPr="00B71D90">
        <w:rPr>
          <w:i/>
        </w:rPr>
        <w:t>R</w:t>
      </w:r>
      <w:r w:rsidR="002C6599" w:rsidRPr="00B71D90">
        <w:rPr>
          <w:i/>
        </w:rPr>
        <w:t xml:space="preserve">educed requirements do not apply if the organization reports the </w:t>
      </w:r>
      <w:r w:rsidR="002C6599" w:rsidRPr="00B71D90">
        <w:t>Children With Chronic Conditions</w:t>
      </w:r>
      <w:r w:rsidR="002C6599" w:rsidRPr="00B71D90">
        <w:rPr>
          <w:i/>
        </w:rPr>
        <w:t xml:space="preserve"> component.</w:t>
      </w:r>
    </w:p>
    <w:p w:rsidR="008A7777" w:rsidRDefault="002C6599" w:rsidP="00EB01A5">
      <w:pPr>
        <w:pStyle w:val="ProcessBullet"/>
        <w:rPr>
          <w:i/>
        </w:rPr>
        <w:sectPr w:rsidR="008A7777" w:rsidSect="00550D6B">
          <w:footnotePr>
            <w:numStart w:val="2"/>
          </w:footnotePr>
          <w:pgSz w:w="12240" w:h="15840" w:code="1"/>
          <w:pgMar w:top="1080" w:right="1080" w:bottom="1080" w:left="1440" w:header="720" w:footer="720" w:gutter="0"/>
          <w:cols w:space="720"/>
        </w:sectPr>
      </w:pPr>
      <w:r w:rsidRPr="00B71D90">
        <w:rPr>
          <w:i/>
        </w:rPr>
        <w:t xml:space="preserve">Organizations that report </w:t>
      </w:r>
      <w:r w:rsidR="004439CF" w:rsidRPr="00B71D90">
        <w:rPr>
          <w:i/>
        </w:rPr>
        <w:t xml:space="preserve">only </w:t>
      </w:r>
      <w:r w:rsidRPr="00B71D90">
        <w:rPr>
          <w:i/>
        </w:rPr>
        <w:t>survey results do not receive an NCQA audit seal.</w:t>
      </w:r>
    </w:p>
    <w:p w:rsidR="00E86F66" w:rsidRPr="00B71D90" w:rsidRDefault="00E86F66" w:rsidP="008A7777">
      <w:pPr>
        <w:pStyle w:val="StdHead"/>
        <w:spacing w:before="0"/>
        <w:rPr>
          <w:color w:val="auto"/>
        </w:rPr>
      </w:pPr>
      <w:r w:rsidRPr="00B71D90">
        <w:rPr>
          <w:color w:val="auto"/>
        </w:rPr>
        <w:lastRenderedPageBreak/>
        <w:t>W</w:t>
      </w:r>
      <w:r w:rsidR="00EB01A5" w:rsidRPr="00B71D90">
        <w:rPr>
          <w:color w:val="auto"/>
        </w:rPr>
        <w:t>HP</w:t>
      </w:r>
      <w:r w:rsidRPr="00B71D90">
        <w:rPr>
          <w:color w:val="auto"/>
        </w:rPr>
        <w:t xml:space="preserve"> Audits</w:t>
      </w:r>
    </w:p>
    <w:p w:rsidR="00E86F66" w:rsidRPr="00B71D90" w:rsidRDefault="009B5F59" w:rsidP="00E86F66">
      <w:pPr>
        <w:pStyle w:val="Body"/>
        <w:numPr>
          <w:ilvl w:val="12"/>
          <w:numId w:val="0"/>
        </w:numPr>
      </w:pPr>
      <w:r w:rsidRPr="00B71D90">
        <w:t>S</w:t>
      </w:r>
      <w:r w:rsidR="00E86F66" w:rsidRPr="00B71D90">
        <w:t xml:space="preserve">pecific audit requirements </w:t>
      </w:r>
      <w:r w:rsidRPr="00B71D90">
        <w:t>apply to</w:t>
      </w:r>
      <w:r w:rsidR="00E86F66" w:rsidRPr="00B71D90">
        <w:t xml:space="preserve"> organizations that report NCQA’s </w:t>
      </w:r>
      <w:r w:rsidR="00EB01A5" w:rsidRPr="00B71D90">
        <w:t>WHP</w:t>
      </w:r>
      <w:r w:rsidR="00E86F66" w:rsidRPr="00B71D90">
        <w:t xml:space="preserve"> </w:t>
      </w:r>
      <w:r w:rsidR="009107FC" w:rsidRPr="00B71D90">
        <w:t xml:space="preserve">performance </w:t>
      </w:r>
      <w:r w:rsidR="00E86F66" w:rsidRPr="00B71D90">
        <w:t>measures.</w:t>
      </w:r>
    </w:p>
    <w:tbl>
      <w:tblPr>
        <w:tblW w:w="0" w:type="auto"/>
        <w:tblInd w:w="-72" w:type="dxa"/>
        <w:tblLayout w:type="fixed"/>
        <w:tblLook w:val="0000"/>
      </w:tblPr>
      <w:tblGrid>
        <w:gridCol w:w="2070"/>
        <w:gridCol w:w="7830"/>
      </w:tblGrid>
      <w:tr w:rsidR="00E86F66" w:rsidRPr="00B71D90" w:rsidTr="004F38E6">
        <w:trPr>
          <w:cantSplit/>
        </w:trPr>
        <w:tc>
          <w:tcPr>
            <w:tcW w:w="2070" w:type="dxa"/>
          </w:tcPr>
          <w:p w:rsidR="00E86F66" w:rsidRPr="00B71D90" w:rsidRDefault="00E86F66" w:rsidP="002C6599">
            <w:pPr>
              <w:pStyle w:val="MarginSubhead"/>
            </w:pPr>
            <w:r w:rsidRPr="00B71D90">
              <w:t>Negotiating a timeline</w:t>
            </w:r>
          </w:p>
        </w:tc>
        <w:tc>
          <w:tcPr>
            <w:tcW w:w="7830" w:type="dxa"/>
          </w:tcPr>
          <w:p w:rsidR="00E86F66" w:rsidRPr="00B71D90" w:rsidRDefault="00E86F66" w:rsidP="002023CC">
            <w:pPr>
              <w:pStyle w:val="Body"/>
            </w:pPr>
            <w:r w:rsidRPr="00B71D90">
              <w:t>During the contracting phase, the organization and the Licensed Organization negotiate an audit timeline and review the number and configuration of the systems to be audited</w:t>
            </w:r>
            <w:r w:rsidR="002023CC" w:rsidRPr="00B71D90">
              <w:t>. They</w:t>
            </w:r>
            <w:r w:rsidR="005C71D5" w:rsidRPr="00B71D90">
              <w:t xml:space="preserve"> consider</w:t>
            </w:r>
            <w:r w:rsidRPr="00B71D90">
              <w:t xml:space="preserve"> whether multiple products rely on the same information system; whether several key organization functions are performed at multiple offsite locations; and centralized systems. In all audits, the Certified Auditor uses findings from the WHP Roadmap to determine the systems to audit and the next steps in the audit process.</w:t>
            </w:r>
          </w:p>
        </w:tc>
      </w:tr>
      <w:tr w:rsidR="00E86F66" w:rsidRPr="00B71D90" w:rsidTr="004F38E6">
        <w:trPr>
          <w:cantSplit/>
        </w:trPr>
        <w:tc>
          <w:tcPr>
            <w:tcW w:w="2070" w:type="dxa"/>
          </w:tcPr>
          <w:p w:rsidR="00E86F66" w:rsidRPr="00B71D90" w:rsidRDefault="00E86F66" w:rsidP="008E13D0">
            <w:pPr>
              <w:pStyle w:val="MarginSubhead"/>
            </w:pPr>
            <w:r w:rsidRPr="00B71D90">
              <w:t>Organization completes the WHP Roadmap</w:t>
            </w:r>
          </w:p>
        </w:tc>
        <w:tc>
          <w:tcPr>
            <w:tcW w:w="7830" w:type="dxa"/>
          </w:tcPr>
          <w:p w:rsidR="00E86F66" w:rsidRPr="00B71D90" w:rsidRDefault="00E86F66" w:rsidP="008E13D0">
            <w:pPr>
              <w:pStyle w:val="Body"/>
            </w:pPr>
            <w:r w:rsidRPr="00B71D90">
              <w:t>The organization must provide</w:t>
            </w:r>
            <w:r w:rsidR="00CB689D" w:rsidRPr="00B71D90">
              <w:t xml:space="preserve"> the basic information needed for an audit, </w:t>
            </w:r>
            <w:r w:rsidR="00E511EC" w:rsidRPr="00B71D90">
              <w:t>indicating:</w:t>
            </w:r>
            <w:r w:rsidRPr="00B71D90">
              <w:t xml:space="preserve"> </w:t>
            </w:r>
          </w:p>
          <w:p w:rsidR="00E86F66" w:rsidRPr="00B71D90" w:rsidRDefault="00E86F66" w:rsidP="00C07B72">
            <w:pPr>
              <w:pStyle w:val="Bullet"/>
            </w:pPr>
            <w:r w:rsidRPr="00B71D90">
              <w:t>Measures being collected</w:t>
            </w:r>
            <w:r w:rsidR="006D1D1F">
              <w:t>.</w:t>
            </w:r>
          </w:p>
          <w:p w:rsidR="00C07B72" w:rsidRPr="00B71D90" w:rsidRDefault="00E86F66" w:rsidP="002C6599">
            <w:pPr>
              <w:pStyle w:val="Bullet"/>
            </w:pPr>
            <w:r w:rsidRPr="00B71D90">
              <w:t>Health appraisal and intervention systems</w:t>
            </w:r>
            <w:r w:rsidR="00DC029E" w:rsidRPr="00B71D90">
              <w:t>.</w:t>
            </w:r>
          </w:p>
          <w:p w:rsidR="00E86F66" w:rsidRPr="00B71D90" w:rsidRDefault="00E86F66" w:rsidP="009B5F59">
            <w:pPr>
              <w:pStyle w:val="Body"/>
            </w:pPr>
            <w:r w:rsidRPr="00B71D90">
              <w:t xml:space="preserve">Electronic copies </w:t>
            </w:r>
            <w:r w:rsidR="00E511EC" w:rsidRPr="00B71D90">
              <w:t xml:space="preserve">of the WHP Roadmap </w:t>
            </w:r>
            <w:r w:rsidRPr="00B71D90">
              <w:t xml:space="preserve">are </w:t>
            </w:r>
            <w:r w:rsidR="009C5F37" w:rsidRPr="00B71D90">
              <w:t xml:space="preserve">distributed to </w:t>
            </w:r>
            <w:r w:rsidRPr="00B71D90">
              <w:t>NCQA</w:t>
            </w:r>
            <w:r w:rsidR="009B5F59" w:rsidRPr="00B71D90">
              <w:t xml:space="preserve"> </w:t>
            </w:r>
            <w:r w:rsidRPr="00B71D90">
              <w:t>Licensed Organization</w:t>
            </w:r>
            <w:r w:rsidR="009C5F37" w:rsidRPr="00B71D90">
              <w:t>s</w:t>
            </w:r>
            <w:r w:rsidRPr="00B71D90">
              <w:t>.</w:t>
            </w:r>
          </w:p>
        </w:tc>
      </w:tr>
      <w:tr w:rsidR="004F38E6" w:rsidRPr="00B71D90" w:rsidTr="004F38E6">
        <w:trPr>
          <w:cantSplit/>
        </w:trPr>
        <w:tc>
          <w:tcPr>
            <w:tcW w:w="2070" w:type="dxa"/>
          </w:tcPr>
          <w:p w:rsidR="004F38E6" w:rsidRPr="00B71D90" w:rsidRDefault="004F38E6" w:rsidP="004439CF">
            <w:pPr>
              <w:pStyle w:val="MarginSubhead"/>
            </w:pPr>
            <w:r w:rsidRPr="00B71D90">
              <w:t>System or source</w:t>
            </w:r>
            <w:r w:rsidR="004439CF" w:rsidRPr="00B71D90">
              <w:t xml:space="preserve"> </w:t>
            </w:r>
            <w:r w:rsidRPr="00B71D90">
              <w:t>code review</w:t>
            </w:r>
          </w:p>
        </w:tc>
        <w:tc>
          <w:tcPr>
            <w:tcW w:w="7830" w:type="dxa"/>
          </w:tcPr>
          <w:p w:rsidR="004F38E6" w:rsidRPr="00B71D90" w:rsidRDefault="004F38E6" w:rsidP="004F38E6">
            <w:pPr>
              <w:pStyle w:val="Body"/>
            </w:pPr>
            <w:r w:rsidRPr="00B71D90">
              <w:t>The manual or automated process of examining original system reports or programming to verify that they are accurate and complete, and that they comply with the specifications in the WHP Technical Specifications.</w:t>
            </w:r>
          </w:p>
        </w:tc>
      </w:tr>
      <w:tr w:rsidR="00E86F66" w:rsidRPr="00B71D90" w:rsidTr="008671A8">
        <w:tc>
          <w:tcPr>
            <w:tcW w:w="2070" w:type="dxa"/>
          </w:tcPr>
          <w:p w:rsidR="008637BB" w:rsidRPr="00B71D90" w:rsidRDefault="00E86F66" w:rsidP="00E57889">
            <w:pPr>
              <w:pStyle w:val="MarginSubhead"/>
            </w:pPr>
            <w:r w:rsidRPr="00B71D90">
              <w:t>The</w:t>
            </w:r>
            <w:r w:rsidR="00535883" w:rsidRPr="00B71D90">
              <w:t xml:space="preserve"> onsite visit</w:t>
            </w:r>
          </w:p>
        </w:tc>
        <w:tc>
          <w:tcPr>
            <w:tcW w:w="7830" w:type="dxa"/>
          </w:tcPr>
          <w:p w:rsidR="008637BB" w:rsidRPr="00B71D90" w:rsidRDefault="005F4F47" w:rsidP="00E57889">
            <w:pPr>
              <w:pStyle w:val="Body"/>
            </w:pPr>
            <w:r w:rsidRPr="00B71D90">
              <w:t>The</w:t>
            </w:r>
            <w:r w:rsidR="00535883" w:rsidRPr="00B71D90">
              <w:t xml:space="preserve"> </w:t>
            </w:r>
            <w:r w:rsidR="00053100">
              <w:t xml:space="preserve">required </w:t>
            </w:r>
            <w:r w:rsidR="00535883" w:rsidRPr="00B71D90">
              <w:t>onsite visit</w:t>
            </w:r>
            <w:r w:rsidRPr="00B71D90">
              <w:t xml:space="preserve"> </w:t>
            </w:r>
            <w:r w:rsidR="00E86F66" w:rsidRPr="00B71D90">
              <w:t>take</w:t>
            </w:r>
            <w:r w:rsidRPr="00B71D90">
              <w:t>s</w:t>
            </w:r>
            <w:r w:rsidR="00E86F66" w:rsidRPr="00B71D90">
              <w:t xml:space="preserve"> one </w:t>
            </w:r>
            <w:r w:rsidRPr="00B71D90">
              <w:t>or</w:t>
            </w:r>
            <w:r w:rsidR="00E86F66" w:rsidRPr="00B71D90">
              <w:t xml:space="preserve"> two days and is conducted by an audit team that includes at least one Certified Auditor. </w:t>
            </w:r>
            <w:r w:rsidR="008671A8" w:rsidRPr="00B71D90">
              <w:t>During the</w:t>
            </w:r>
            <w:r w:rsidR="00535883" w:rsidRPr="00B71D90">
              <w:t xml:space="preserve"> onsite visit</w:t>
            </w:r>
            <w:r w:rsidR="008671A8" w:rsidRPr="00B71D90">
              <w:t xml:space="preserve">, the audit team observes systems used to collect and produce WHP data. </w:t>
            </w:r>
            <w:r w:rsidR="00E86F66" w:rsidRPr="00B71D90">
              <w:t>The number and content of onsite visits depend</w:t>
            </w:r>
            <w:r w:rsidRPr="00B71D90">
              <w:t>s</w:t>
            </w:r>
            <w:r w:rsidR="00E86F66" w:rsidRPr="00B71D90">
              <w:t xml:space="preserve"> on the</w:t>
            </w:r>
            <w:r w:rsidR="008671A8" w:rsidRPr="00B71D90">
              <w:t xml:space="preserve"> organization’s</w:t>
            </w:r>
            <w:r w:rsidR="00E86F66" w:rsidRPr="00B71D90">
              <w:t xml:space="preserve"> size and structure.</w:t>
            </w:r>
          </w:p>
          <w:p w:rsidR="00E86F66" w:rsidRPr="00B71D90" w:rsidRDefault="00E86F66" w:rsidP="008E13D0">
            <w:pPr>
              <w:pStyle w:val="Body"/>
              <w:numPr>
                <w:ilvl w:val="12"/>
                <w:numId w:val="0"/>
              </w:numPr>
            </w:pPr>
            <w:r w:rsidRPr="00B71D90">
              <w:t>The audit team conducts interviews; reviews systems, processes and measure-specific data collection; and assesses the level of the organization’s data completeness. The team concludes the</w:t>
            </w:r>
            <w:r w:rsidR="00535883" w:rsidRPr="00B71D90">
              <w:t xml:space="preserve"> onsite visit</w:t>
            </w:r>
            <w:r w:rsidRPr="00B71D90">
              <w:t xml:space="preserve"> with a closing session and shares its initial findings.</w:t>
            </w:r>
          </w:p>
        </w:tc>
      </w:tr>
      <w:tr w:rsidR="00E86F66" w:rsidRPr="00B71D90" w:rsidTr="008671A8">
        <w:tc>
          <w:tcPr>
            <w:tcW w:w="2070" w:type="dxa"/>
          </w:tcPr>
          <w:p w:rsidR="00C07B72" w:rsidRPr="00B71D90" w:rsidRDefault="00E86F66" w:rsidP="00DC029E">
            <w:pPr>
              <w:pStyle w:val="MarginSubhead"/>
            </w:pPr>
            <w:r w:rsidRPr="00B71D90">
              <w:t>Documents and corrective actions</w:t>
            </w:r>
          </w:p>
        </w:tc>
        <w:tc>
          <w:tcPr>
            <w:tcW w:w="7830" w:type="dxa"/>
          </w:tcPr>
          <w:p w:rsidR="00E86F66" w:rsidRPr="00B71D90" w:rsidRDefault="00B73FB9" w:rsidP="002023CC">
            <w:pPr>
              <w:pStyle w:val="Body"/>
            </w:pPr>
            <w:r w:rsidRPr="00B71D90">
              <w:t xml:space="preserve">The organization submits additional documents and implements corrective </w:t>
            </w:r>
            <w:r w:rsidR="008671A8" w:rsidRPr="00B71D90">
              <w:br/>
            </w:r>
            <w:r w:rsidRPr="00B71D90">
              <w:t>actions b</w:t>
            </w:r>
            <w:r w:rsidR="00E86F66" w:rsidRPr="00B71D90">
              <w:t>ased on requests from the auditor at the onsite visit or</w:t>
            </w:r>
            <w:r w:rsidRPr="00B71D90">
              <w:t xml:space="preserve"> in the follow-up documentation</w:t>
            </w:r>
            <w:r w:rsidR="00E86F66" w:rsidRPr="00B71D90">
              <w:t>. Timely completion of corrective acti</w:t>
            </w:r>
            <w:r w:rsidR="008671A8" w:rsidRPr="00B71D90">
              <w:t>ons</w:t>
            </w:r>
            <w:r w:rsidR="00E86F66" w:rsidRPr="00B71D90">
              <w:t xml:space="preserve"> gives the auditor </w:t>
            </w:r>
            <w:r w:rsidR="002023CC" w:rsidRPr="00B71D90">
              <w:t xml:space="preserve">enough </w:t>
            </w:r>
            <w:r w:rsidR="00E86F66" w:rsidRPr="00B71D90">
              <w:t xml:space="preserve">time </w:t>
            </w:r>
            <w:r w:rsidR="002023CC" w:rsidRPr="00B71D90">
              <w:t xml:space="preserve">before the WHP submission date </w:t>
            </w:r>
            <w:r w:rsidR="00E86F66" w:rsidRPr="00B71D90">
              <w:t>to determine</w:t>
            </w:r>
            <w:r w:rsidRPr="00B71D90">
              <w:t xml:space="preserve"> their effect</w:t>
            </w:r>
            <w:r w:rsidR="00E86F66" w:rsidRPr="00B71D90">
              <w:t xml:space="preserve"> on results. </w:t>
            </w:r>
          </w:p>
        </w:tc>
      </w:tr>
      <w:tr w:rsidR="00E86F66" w:rsidRPr="00B71D90" w:rsidTr="008671A8">
        <w:tc>
          <w:tcPr>
            <w:tcW w:w="2070" w:type="dxa"/>
          </w:tcPr>
          <w:p w:rsidR="00E86F66" w:rsidRPr="00B71D90" w:rsidRDefault="00E86F66" w:rsidP="00DC029E">
            <w:pPr>
              <w:pStyle w:val="MarginSubhead"/>
            </w:pPr>
            <w:r w:rsidRPr="00B71D90">
              <w:t>Audit results</w:t>
            </w:r>
          </w:p>
        </w:tc>
        <w:tc>
          <w:tcPr>
            <w:tcW w:w="7830" w:type="dxa"/>
          </w:tcPr>
          <w:p w:rsidR="00E86F66" w:rsidRPr="00B71D90" w:rsidRDefault="00E86F66" w:rsidP="00B73FB9">
            <w:pPr>
              <w:pStyle w:val="Body"/>
            </w:pPr>
            <w:r w:rsidRPr="00B71D90">
              <w:t>WHP audits result in audited rates or calculations at the measure level and indicate if the measures can be reported</w:t>
            </w:r>
            <w:r w:rsidR="00E511EC" w:rsidRPr="00B71D90">
              <w:t xml:space="preserve"> publicly</w:t>
            </w:r>
            <w:r w:rsidRPr="00B71D90">
              <w:t xml:space="preserve">. All measures selected </w:t>
            </w:r>
            <w:r w:rsidR="00B73FB9" w:rsidRPr="00B71D90">
              <w:t>for reporting</w:t>
            </w:r>
            <w:r w:rsidRPr="00B71D90">
              <w:t xml:space="preserve"> by the organization have a final, audited result.</w:t>
            </w:r>
          </w:p>
        </w:tc>
      </w:tr>
      <w:tr w:rsidR="00E86F66" w:rsidRPr="00B71D90" w:rsidTr="008671A8">
        <w:tc>
          <w:tcPr>
            <w:tcW w:w="2070" w:type="dxa"/>
          </w:tcPr>
          <w:p w:rsidR="00E86F66" w:rsidRPr="00E57889" w:rsidRDefault="00E86F66" w:rsidP="00DC029E">
            <w:pPr>
              <w:pStyle w:val="MarginSubhead"/>
            </w:pPr>
            <w:r w:rsidRPr="00B71D90">
              <w:t>Final Audit Report</w:t>
            </w:r>
          </w:p>
        </w:tc>
        <w:tc>
          <w:tcPr>
            <w:tcW w:w="7830" w:type="dxa"/>
          </w:tcPr>
          <w:p w:rsidR="00E86F66" w:rsidRPr="00B71D90" w:rsidRDefault="00E86F66" w:rsidP="008E13D0">
            <w:pPr>
              <w:pStyle w:val="Body"/>
            </w:pPr>
            <w:r w:rsidRPr="00B71D90">
              <w:t xml:space="preserve">After the organization provides all requested documents, performs the recommended corrective actions and submits the measure results, the auditor prepares the Final Audit Report and sends it to the organization and </w:t>
            </w:r>
            <w:r w:rsidR="007F7C7D" w:rsidRPr="00B71D90">
              <w:t xml:space="preserve">to </w:t>
            </w:r>
            <w:r w:rsidRPr="00B71D90">
              <w:t>NCQA.</w:t>
            </w:r>
          </w:p>
        </w:tc>
      </w:tr>
    </w:tbl>
    <w:p w:rsidR="006D1D1F" w:rsidRDefault="006D1D1F" w:rsidP="006D1D1F">
      <w:pPr>
        <w:sectPr w:rsidR="006D1D1F" w:rsidSect="00550D6B">
          <w:footnotePr>
            <w:numStart w:val="2"/>
          </w:footnotePr>
          <w:pgSz w:w="12240" w:h="15840" w:code="1"/>
          <w:pgMar w:top="1080" w:right="1080" w:bottom="1080" w:left="1440" w:header="720" w:footer="720" w:gutter="0"/>
          <w:cols w:space="720"/>
        </w:sectPr>
      </w:pPr>
    </w:p>
    <w:p w:rsidR="009107FC" w:rsidRPr="00B71D90" w:rsidRDefault="009107FC" w:rsidP="006D1D1F">
      <w:pPr>
        <w:pStyle w:val="StdHead"/>
        <w:spacing w:before="0"/>
        <w:rPr>
          <w:color w:val="auto"/>
        </w:rPr>
      </w:pPr>
      <w:r w:rsidRPr="00B71D90">
        <w:rPr>
          <w:color w:val="auto"/>
        </w:rPr>
        <w:lastRenderedPageBreak/>
        <w:t>DM Audits</w:t>
      </w:r>
    </w:p>
    <w:p w:rsidR="009107FC" w:rsidRPr="00B71D90" w:rsidRDefault="005C71D5" w:rsidP="009107FC">
      <w:pPr>
        <w:pStyle w:val="Body"/>
        <w:numPr>
          <w:ilvl w:val="12"/>
          <w:numId w:val="0"/>
        </w:numPr>
      </w:pPr>
      <w:r w:rsidRPr="00B71D90">
        <w:t>S</w:t>
      </w:r>
      <w:r w:rsidR="009107FC" w:rsidRPr="00B71D90">
        <w:t xml:space="preserve">pecific audit requirements </w:t>
      </w:r>
      <w:r w:rsidRPr="00B71D90">
        <w:t xml:space="preserve">apply to </w:t>
      </w:r>
      <w:r w:rsidR="009107FC" w:rsidRPr="00B71D90">
        <w:t>organizations that report the NCQA’s DM performance measures.</w:t>
      </w:r>
    </w:p>
    <w:tbl>
      <w:tblPr>
        <w:tblW w:w="0" w:type="auto"/>
        <w:tblInd w:w="-72" w:type="dxa"/>
        <w:tblLayout w:type="fixed"/>
        <w:tblLook w:val="0000"/>
      </w:tblPr>
      <w:tblGrid>
        <w:gridCol w:w="2070"/>
        <w:gridCol w:w="7830"/>
      </w:tblGrid>
      <w:tr w:rsidR="009107FC" w:rsidRPr="00B71D90" w:rsidTr="009107FC">
        <w:trPr>
          <w:cantSplit/>
        </w:trPr>
        <w:tc>
          <w:tcPr>
            <w:tcW w:w="2070" w:type="dxa"/>
          </w:tcPr>
          <w:p w:rsidR="009107FC" w:rsidRPr="00B71D90" w:rsidRDefault="009107FC" w:rsidP="009107FC">
            <w:pPr>
              <w:pStyle w:val="MarginSubhead"/>
            </w:pPr>
            <w:r w:rsidRPr="00B71D90">
              <w:t>Negotiating a timeline</w:t>
            </w:r>
          </w:p>
        </w:tc>
        <w:tc>
          <w:tcPr>
            <w:tcW w:w="7830" w:type="dxa"/>
          </w:tcPr>
          <w:p w:rsidR="009107FC" w:rsidRPr="00B71D90" w:rsidRDefault="009107FC" w:rsidP="008671A8">
            <w:pPr>
              <w:pStyle w:val="Body"/>
            </w:pPr>
            <w:r w:rsidRPr="00B71D90">
              <w:t xml:space="preserve">During the contracting phase, the organization and the Licensed Organization negotiate an audit timeline and review the number and configuration of the systems to be audited. </w:t>
            </w:r>
            <w:r w:rsidR="008671A8" w:rsidRPr="00B71D90">
              <w:t xml:space="preserve">They </w:t>
            </w:r>
            <w:r w:rsidRPr="00B71D90">
              <w:t xml:space="preserve">consider whether multiple products rely on the same information system; whether several key organization functions are performed at multiple offsite locations; and centralized systems. In all audits, the Certified Auditor uses findings from the </w:t>
            </w:r>
            <w:r w:rsidR="004208BB" w:rsidRPr="00B71D90">
              <w:t xml:space="preserve">DM </w:t>
            </w:r>
            <w:r w:rsidRPr="00B71D90">
              <w:t>Roadmap to determine the systems to audit and the next steps in the audit process.</w:t>
            </w:r>
          </w:p>
        </w:tc>
      </w:tr>
      <w:tr w:rsidR="009107FC" w:rsidRPr="00B71D90" w:rsidTr="00A12CFC">
        <w:trPr>
          <w:cantSplit/>
        </w:trPr>
        <w:tc>
          <w:tcPr>
            <w:tcW w:w="2070" w:type="dxa"/>
          </w:tcPr>
          <w:p w:rsidR="009107FC" w:rsidRPr="00B71D90" w:rsidRDefault="009107FC" w:rsidP="0030296F">
            <w:pPr>
              <w:pStyle w:val="MarginSubhead"/>
            </w:pPr>
            <w:r w:rsidRPr="00B71D90">
              <w:t xml:space="preserve">Organization completes the </w:t>
            </w:r>
            <w:r w:rsidR="0030296F" w:rsidRPr="00B71D90">
              <w:t xml:space="preserve">DM </w:t>
            </w:r>
            <w:r w:rsidRPr="00B71D90">
              <w:t>Roadmap</w:t>
            </w:r>
          </w:p>
        </w:tc>
        <w:tc>
          <w:tcPr>
            <w:tcW w:w="7830" w:type="dxa"/>
          </w:tcPr>
          <w:p w:rsidR="009107FC" w:rsidRPr="00B71D90" w:rsidRDefault="00AE2FD5" w:rsidP="00AE2FD5">
            <w:pPr>
              <w:pStyle w:val="Body"/>
            </w:pPr>
            <w:r w:rsidRPr="00B71D90">
              <w:t>The HEDIS Audit begins when an organization completes or updates the</w:t>
            </w:r>
            <w:r w:rsidR="0030296F" w:rsidRPr="00B71D90">
              <w:t xml:space="preserve"> DM</w:t>
            </w:r>
            <w:r w:rsidRPr="00B71D90">
              <w:t xml:space="preserve"> Roadmap, which it uses to record information about its data systems and data reporting structure and processes</w:t>
            </w:r>
            <w:r w:rsidR="008671A8" w:rsidRPr="00B71D90">
              <w:t>.</w:t>
            </w:r>
            <w:r w:rsidR="00072FCF" w:rsidRPr="00B71D90">
              <w:t xml:space="preserve"> </w:t>
            </w:r>
            <w:r w:rsidR="008671A8" w:rsidRPr="00B71D90">
              <w:t>Organizations should complete t</w:t>
            </w:r>
            <w:r w:rsidR="00072FCF" w:rsidRPr="00B71D90">
              <w:t>he</w:t>
            </w:r>
            <w:r w:rsidR="008671A8" w:rsidRPr="00B71D90">
              <w:t>se</w:t>
            </w:r>
            <w:r w:rsidR="00072FCF" w:rsidRPr="00B71D90">
              <w:t xml:space="preserve"> sections for the audit</w:t>
            </w:r>
            <w:r w:rsidR="008671A8" w:rsidRPr="00B71D90">
              <w:t>:</w:t>
            </w:r>
          </w:p>
          <w:p w:rsidR="00072FCF" w:rsidRPr="00B71D90" w:rsidRDefault="00924C54" w:rsidP="00072FCF">
            <w:pPr>
              <w:pStyle w:val="Bullet"/>
              <w:keepNext/>
              <w:tabs>
                <w:tab w:val="right" w:pos="9720"/>
              </w:tabs>
              <w:outlineLvl w:val="0"/>
              <w:rPr>
                <w:i/>
              </w:rPr>
            </w:pPr>
            <w:r w:rsidRPr="00B71D90">
              <w:rPr>
                <w:i/>
              </w:rPr>
              <w:t>General Information</w:t>
            </w:r>
            <w:r w:rsidR="006D1D1F">
              <w:rPr>
                <w:i/>
              </w:rPr>
              <w:t>.</w:t>
            </w:r>
          </w:p>
          <w:p w:rsidR="00072FCF" w:rsidRPr="00B71D90" w:rsidRDefault="0030296F" w:rsidP="00072FCF">
            <w:pPr>
              <w:pStyle w:val="Bullet"/>
              <w:keepNext/>
              <w:tabs>
                <w:tab w:val="right" w:pos="9720"/>
              </w:tabs>
              <w:outlineLvl w:val="0"/>
              <w:rPr>
                <w:i/>
              </w:rPr>
            </w:pPr>
            <w:r w:rsidRPr="00B71D90">
              <w:rPr>
                <w:i/>
              </w:rPr>
              <w:t xml:space="preserve">DM </w:t>
            </w:r>
            <w:r w:rsidR="00924C54" w:rsidRPr="00B71D90">
              <w:rPr>
                <w:i/>
              </w:rPr>
              <w:t xml:space="preserve">Roadmap Appendix </w:t>
            </w:r>
            <w:r w:rsidRPr="00B71D90">
              <w:rPr>
                <w:i/>
              </w:rPr>
              <w:t>1</w:t>
            </w:r>
            <w:r w:rsidR="00924C54" w:rsidRPr="00B71D90">
              <w:rPr>
                <w:i/>
              </w:rPr>
              <w:t xml:space="preserve"> (Measure Reporting Table)</w:t>
            </w:r>
            <w:r w:rsidR="006D1D1F">
              <w:rPr>
                <w:i/>
              </w:rPr>
              <w:t>.</w:t>
            </w:r>
          </w:p>
          <w:p w:rsidR="00A12CFC" w:rsidRPr="00B71D90" w:rsidRDefault="00924C54" w:rsidP="00072FCF">
            <w:pPr>
              <w:pStyle w:val="Bullet"/>
            </w:pPr>
            <w:r w:rsidRPr="00B71D90">
              <w:rPr>
                <w:i/>
              </w:rPr>
              <w:t>Medical Services and Processing</w:t>
            </w:r>
            <w:r w:rsidR="00A12CFC" w:rsidRPr="00B71D90">
              <w:t xml:space="preserve"> (Section 1)</w:t>
            </w:r>
            <w:r w:rsidR="006D1D1F">
              <w:t>.</w:t>
            </w:r>
          </w:p>
          <w:p w:rsidR="00A12CFC" w:rsidRPr="00B71D90" w:rsidRDefault="00A12CFC" w:rsidP="00072FCF">
            <w:pPr>
              <w:pStyle w:val="Bullet"/>
              <w:keepNext/>
              <w:tabs>
                <w:tab w:val="right" w:pos="9720"/>
              </w:tabs>
              <w:outlineLvl w:val="0"/>
              <w:rPr>
                <w:i/>
              </w:rPr>
            </w:pPr>
            <w:r w:rsidRPr="00B71D90">
              <w:t xml:space="preserve">All </w:t>
            </w:r>
            <w:r w:rsidR="00924C54" w:rsidRPr="00B71D90">
              <w:rPr>
                <w:i/>
              </w:rPr>
              <w:t xml:space="preserve">Ancillary Services </w:t>
            </w:r>
            <w:r w:rsidR="005C71D5" w:rsidRPr="00B71D90">
              <w:t>s</w:t>
            </w:r>
            <w:r w:rsidRPr="00B71D90">
              <w:t xml:space="preserve">ections </w:t>
            </w:r>
            <w:r w:rsidR="00924C54" w:rsidRPr="00B71D90">
              <w:rPr>
                <w:i/>
              </w:rPr>
              <w:t xml:space="preserve">(Laboratory, Vision, and Pharmacy Services and Processing </w:t>
            </w:r>
            <w:r w:rsidR="00DD4AD4">
              <w:t>[</w:t>
            </w:r>
            <w:r w:rsidR="00924C54" w:rsidRPr="006D1D1F">
              <w:t>Sections 1A</w:t>
            </w:r>
            <w:r w:rsidR="005C71D5" w:rsidRPr="006D1D1F">
              <w:t>–</w:t>
            </w:r>
            <w:r w:rsidR="00522DE0" w:rsidRPr="006D1D1F">
              <w:t>1</w:t>
            </w:r>
            <w:r w:rsidR="00924C54" w:rsidRPr="006D1D1F">
              <w:t>C</w:t>
            </w:r>
            <w:r w:rsidR="00DD4AD4">
              <w:t>]</w:t>
            </w:r>
            <w:r w:rsidR="00924C54" w:rsidRPr="006D1D1F">
              <w:rPr>
                <w:i/>
              </w:rPr>
              <w:t>)</w:t>
            </w:r>
            <w:r w:rsidR="006D1D1F">
              <w:t xml:space="preserve"> that apply.</w:t>
            </w:r>
          </w:p>
          <w:p w:rsidR="00A12CFC" w:rsidRPr="00B71D90" w:rsidRDefault="00BC35BE" w:rsidP="00072FCF">
            <w:pPr>
              <w:pStyle w:val="Bullet"/>
            </w:pPr>
            <w:r w:rsidRPr="00B71D90">
              <w:rPr>
                <w:i/>
              </w:rPr>
              <w:t xml:space="preserve">DM Eligibility </w:t>
            </w:r>
            <w:r w:rsidR="00A12CFC" w:rsidRPr="00B71D90">
              <w:t>(Section 2)</w:t>
            </w:r>
            <w:r w:rsidR="006D1D1F">
              <w:t>.</w:t>
            </w:r>
          </w:p>
          <w:p w:rsidR="00A12CFC" w:rsidRPr="00B71D90" w:rsidRDefault="0030296F" w:rsidP="00072FCF">
            <w:pPr>
              <w:pStyle w:val="Bullet"/>
              <w:keepNext/>
              <w:tabs>
                <w:tab w:val="right" w:pos="9720"/>
              </w:tabs>
              <w:outlineLvl w:val="0"/>
              <w:rPr>
                <w:i/>
              </w:rPr>
            </w:pPr>
            <w:r w:rsidRPr="00B71D90">
              <w:rPr>
                <w:i/>
              </w:rPr>
              <w:t xml:space="preserve">Registry </w:t>
            </w:r>
            <w:r w:rsidR="00924C54" w:rsidRPr="00B71D90">
              <w:rPr>
                <w:i/>
              </w:rPr>
              <w:t>Data</w:t>
            </w:r>
            <w:r w:rsidR="00A12CFC" w:rsidRPr="00B71D90">
              <w:t xml:space="preserve"> (</w:t>
            </w:r>
            <w:r w:rsidR="00DD0657" w:rsidRPr="00B71D90">
              <w:t>Section 3</w:t>
            </w:r>
            <w:r w:rsidR="00A12CFC" w:rsidRPr="00B71D90">
              <w:t>)</w:t>
            </w:r>
            <w:r w:rsidR="006D1D1F">
              <w:t>.</w:t>
            </w:r>
          </w:p>
          <w:p w:rsidR="00BC35BE" w:rsidRPr="006D1D1F" w:rsidRDefault="00BC35BE" w:rsidP="00072FCF">
            <w:pPr>
              <w:pStyle w:val="Bullet"/>
              <w:keepNext/>
              <w:tabs>
                <w:tab w:val="right" w:pos="9720"/>
              </w:tabs>
              <w:outlineLvl w:val="0"/>
            </w:pPr>
            <w:r w:rsidRPr="00B71D90">
              <w:rPr>
                <w:i/>
              </w:rPr>
              <w:t xml:space="preserve">Supplemental Data </w:t>
            </w:r>
            <w:r w:rsidRPr="006D1D1F">
              <w:t>(Section 4)</w:t>
            </w:r>
            <w:r w:rsidR="006D1D1F" w:rsidRPr="006D1D1F">
              <w:t>.</w:t>
            </w:r>
          </w:p>
          <w:p w:rsidR="00A12CFC" w:rsidRPr="00B71D90" w:rsidRDefault="00924C54" w:rsidP="00072FCF">
            <w:pPr>
              <w:pStyle w:val="Bullet"/>
              <w:keepNext/>
              <w:tabs>
                <w:tab w:val="right" w:pos="9720"/>
              </w:tabs>
              <w:outlineLvl w:val="0"/>
              <w:rPr>
                <w:i/>
              </w:rPr>
            </w:pPr>
            <w:r w:rsidRPr="00B71D90">
              <w:rPr>
                <w:i/>
              </w:rPr>
              <w:t>Data Integration</w:t>
            </w:r>
            <w:r w:rsidR="00A12CFC" w:rsidRPr="00B71D90">
              <w:t xml:space="preserve"> (</w:t>
            </w:r>
            <w:r w:rsidR="00DD0657" w:rsidRPr="00B71D90">
              <w:t xml:space="preserve">Section </w:t>
            </w:r>
            <w:r w:rsidR="00BC35BE" w:rsidRPr="00B71D90">
              <w:t>5</w:t>
            </w:r>
            <w:r w:rsidR="00A12CFC" w:rsidRPr="00B71D90">
              <w:t>)</w:t>
            </w:r>
            <w:r w:rsidRPr="00B71D90">
              <w:t>.</w:t>
            </w:r>
          </w:p>
          <w:p w:rsidR="00072FCF" w:rsidRPr="00B71D90" w:rsidRDefault="00072FCF" w:rsidP="009F7F61">
            <w:pPr>
              <w:pStyle w:val="Body"/>
            </w:pPr>
            <w:r w:rsidRPr="00B71D90">
              <w:t xml:space="preserve">Electronic copies of the Roadmap are </w:t>
            </w:r>
            <w:r w:rsidR="009C5F37" w:rsidRPr="00B71D90">
              <w:t xml:space="preserve">distributed to the </w:t>
            </w:r>
            <w:r w:rsidR="00207C16" w:rsidRPr="00B71D90">
              <w:t xml:space="preserve">NCQA </w:t>
            </w:r>
            <w:r w:rsidRPr="00B71D90">
              <w:t>Licensed Organization</w:t>
            </w:r>
            <w:r w:rsidR="009C5F37" w:rsidRPr="00B71D90">
              <w:t>s</w:t>
            </w:r>
            <w:r w:rsidRPr="00B71D90">
              <w:t>.</w:t>
            </w:r>
            <w:r w:rsidR="008671A8" w:rsidRPr="00B71D90">
              <w:t xml:space="preserve"> </w:t>
            </w:r>
            <w:r w:rsidR="005F1E57" w:rsidRPr="00B71D90">
              <w:t xml:space="preserve">Refer to </w:t>
            </w:r>
            <w:r w:rsidR="005F1E57" w:rsidRPr="00B71D90">
              <w:rPr>
                <w:i/>
              </w:rPr>
              <w:t xml:space="preserve">Appendix </w:t>
            </w:r>
            <w:r w:rsidR="009F7F61" w:rsidRPr="00B71D90">
              <w:rPr>
                <w:i/>
              </w:rPr>
              <w:t>4</w:t>
            </w:r>
            <w:r w:rsidR="005F1E57" w:rsidRPr="00B71D90">
              <w:rPr>
                <w:i/>
              </w:rPr>
              <w:t xml:space="preserve">: </w:t>
            </w:r>
            <w:r w:rsidR="009F7F61" w:rsidRPr="00B71D90">
              <w:rPr>
                <w:i/>
              </w:rPr>
              <w:t xml:space="preserve">DM </w:t>
            </w:r>
            <w:r w:rsidR="005F1E57" w:rsidRPr="00B71D90">
              <w:rPr>
                <w:i/>
              </w:rPr>
              <w:t>Roadmap.</w:t>
            </w:r>
          </w:p>
        </w:tc>
      </w:tr>
      <w:tr w:rsidR="009107FC" w:rsidRPr="00B71D90" w:rsidTr="00A12CFC">
        <w:trPr>
          <w:cantSplit/>
        </w:trPr>
        <w:tc>
          <w:tcPr>
            <w:tcW w:w="2070" w:type="dxa"/>
          </w:tcPr>
          <w:p w:rsidR="00924C54" w:rsidRPr="00B71D90" w:rsidRDefault="009107FC" w:rsidP="00E57889">
            <w:pPr>
              <w:pStyle w:val="MarginSubhead"/>
              <w:rPr>
                <w:kern w:val="28"/>
                <w:sz w:val="28"/>
              </w:rPr>
            </w:pPr>
            <w:r w:rsidRPr="00B71D90">
              <w:t>System or source code review</w:t>
            </w:r>
          </w:p>
        </w:tc>
        <w:tc>
          <w:tcPr>
            <w:tcW w:w="7830" w:type="dxa"/>
          </w:tcPr>
          <w:p w:rsidR="00924C54" w:rsidRPr="00B71D90" w:rsidRDefault="009107FC" w:rsidP="00E57889">
            <w:pPr>
              <w:pStyle w:val="Body"/>
              <w:rPr>
                <w:kern w:val="28"/>
                <w:szCs w:val="20"/>
              </w:rPr>
            </w:pPr>
            <w:r w:rsidRPr="00B71D90">
              <w:rPr>
                <w:szCs w:val="20"/>
              </w:rPr>
              <w:t xml:space="preserve">The </w:t>
            </w:r>
            <w:r w:rsidR="00924C54" w:rsidRPr="00E57889">
              <w:t>system</w:t>
            </w:r>
            <w:r w:rsidR="00924C54" w:rsidRPr="00B71D90">
              <w:rPr>
                <w:szCs w:val="20"/>
              </w:rPr>
              <w:t xml:space="preserve"> or source code review</w:t>
            </w:r>
            <w:r w:rsidR="005C71D5" w:rsidRPr="00B71D90">
              <w:rPr>
                <w:szCs w:val="20"/>
              </w:rPr>
              <w:t xml:space="preserve"> is a </w:t>
            </w:r>
            <w:r w:rsidRPr="00B71D90">
              <w:rPr>
                <w:szCs w:val="20"/>
              </w:rPr>
              <w:t xml:space="preserve">manual or automated process of examining original system reports or programming to verify that they are accurate and complete, and that they comply with the specifications in the </w:t>
            </w:r>
            <w:r w:rsidR="00AE2FD5" w:rsidRPr="00B71D90">
              <w:rPr>
                <w:szCs w:val="20"/>
              </w:rPr>
              <w:t xml:space="preserve">DM </w:t>
            </w:r>
            <w:r w:rsidRPr="00B71D90">
              <w:rPr>
                <w:szCs w:val="20"/>
              </w:rPr>
              <w:t>Technical Specifications.</w:t>
            </w:r>
          </w:p>
        </w:tc>
      </w:tr>
      <w:tr w:rsidR="009107FC" w:rsidRPr="00B71D90" w:rsidTr="00A12CFC">
        <w:tc>
          <w:tcPr>
            <w:tcW w:w="2070" w:type="dxa"/>
          </w:tcPr>
          <w:p w:rsidR="009107FC" w:rsidRPr="00B71D90" w:rsidRDefault="009107FC" w:rsidP="00A12CFC">
            <w:pPr>
              <w:pStyle w:val="MarginSubhead"/>
            </w:pPr>
            <w:r w:rsidRPr="00B71D90">
              <w:t>The</w:t>
            </w:r>
            <w:r w:rsidR="00535883" w:rsidRPr="00B71D90">
              <w:t xml:space="preserve"> onsite visit</w:t>
            </w:r>
          </w:p>
        </w:tc>
        <w:tc>
          <w:tcPr>
            <w:tcW w:w="7830" w:type="dxa"/>
          </w:tcPr>
          <w:p w:rsidR="009107FC" w:rsidRPr="00B71D90" w:rsidRDefault="005F4F47" w:rsidP="00A12CFC">
            <w:pPr>
              <w:pStyle w:val="Body"/>
            </w:pPr>
            <w:r w:rsidRPr="00B71D90">
              <w:t>The</w:t>
            </w:r>
            <w:r w:rsidR="00535883" w:rsidRPr="00B71D90">
              <w:t xml:space="preserve"> </w:t>
            </w:r>
            <w:r w:rsidR="00053100">
              <w:t xml:space="preserve">required </w:t>
            </w:r>
            <w:r w:rsidR="00535883" w:rsidRPr="00B71D90">
              <w:t>onsite visit</w:t>
            </w:r>
            <w:r w:rsidRPr="00B71D90">
              <w:t xml:space="preserve"> </w:t>
            </w:r>
            <w:r w:rsidR="0066659D" w:rsidRPr="00B71D90">
              <w:t>take</w:t>
            </w:r>
            <w:r w:rsidRPr="00B71D90">
              <w:t>s</w:t>
            </w:r>
            <w:r w:rsidR="0066659D" w:rsidRPr="00B71D90">
              <w:t xml:space="preserve"> one </w:t>
            </w:r>
            <w:r w:rsidRPr="00B71D90">
              <w:t>or</w:t>
            </w:r>
            <w:r w:rsidR="0066659D" w:rsidRPr="00B71D90">
              <w:t xml:space="preserve"> two days and is conducted by an audit team that includes at least one Certified Auditor. </w:t>
            </w:r>
            <w:r w:rsidR="005C71D5" w:rsidRPr="00B71D90">
              <w:t>During the</w:t>
            </w:r>
            <w:r w:rsidR="00535883" w:rsidRPr="00B71D90">
              <w:t xml:space="preserve"> onsite visit</w:t>
            </w:r>
            <w:r w:rsidR="005C71D5" w:rsidRPr="00B71D90">
              <w:t xml:space="preserve">, </w:t>
            </w:r>
            <w:r w:rsidR="0066659D" w:rsidRPr="00B71D90">
              <w:t>the audit team</w:t>
            </w:r>
            <w:r w:rsidR="005C71D5" w:rsidRPr="00B71D90">
              <w:t xml:space="preserve"> </w:t>
            </w:r>
            <w:r w:rsidR="009107FC" w:rsidRPr="00B71D90">
              <w:t>observe</w:t>
            </w:r>
            <w:r w:rsidR="0066659D" w:rsidRPr="00B71D90">
              <w:t>s</w:t>
            </w:r>
            <w:r w:rsidR="009107FC" w:rsidRPr="00B71D90">
              <w:t xml:space="preserve"> systems used to collect and produce </w:t>
            </w:r>
            <w:r w:rsidR="006D1D1F">
              <w:t>disease management</w:t>
            </w:r>
            <w:r w:rsidR="00AE2FD5" w:rsidRPr="00B71D90">
              <w:t xml:space="preserve"> </w:t>
            </w:r>
            <w:r w:rsidR="009107FC" w:rsidRPr="00B71D90">
              <w:t>data. The number and content of onsite visits depend</w:t>
            </w:r>
            <w:r w:rsidR="005C71D5" w:rsidRPr="00B71D90">
              <w:t>s</w:t>
            </w:r>
            <w:r w:rsidR="009107FC" w:rsidRPr="00B71D90">
              <w:t xml:space="preserve"> on the size and structure of the organization.</w:t>
            </w:r>
          </w:p>
          <w:p w:rsidR="005F1E57" w:rsidRPr="00B71D90" w:rsidRDefault="009107FC">
            <w:pPr>
              <w:pStyle w:val="Body"/>
              <w:numPr>
                <w:ilvl w:val="12"/>
                <w:numId w:val="0"/>
              </w:numPr>
            </w:pPr>
            <w:r w:rsidRPr="00B71D90">
              <w:t>The audit team conducts interviews; reviews systems, processes and measure-specific data collection; and assesses the level of the organization’s data completeness. The team concludes the</w:t>
            </w:r>
            <w:r w:rsidR="00535883" w:rsidRPr="00B71D90">
              <w:t xml:space="preserve"> onsite visit</w:t>
            </w:r>
            <w:r w:rsidRPr="00B71D90">
              <w:t xml:space="preserve"> with a closing session and shares</w:t>
            </w:r>
            <w:r w:rsidR="00E6211B" w:rsidRPr="00B71D90">
              <w:br/>
            </w:r>
            <w:r w:rsidRPr="00B71D90">
              <w:t>initial findings.</w:t>
            </w:r>
          </w:p>
        </w:tc>
      </w:tr>
      <w:tr w:rsidR="007512B8" w:rsidRPr="00B71D90" w:rsidTr="007512B8">
        <w:tc>
          <w:tcPr>
            <w:tcW w:w="2070" w:type="dxa"/>
          </w:tcPr>
          <w:p w:rsidR="007512B8" w:rsidRPr="00B71D90" w:rsidRDefault="007512B8" w:rsidP="007B3AB1">
            <w:pPr>
              <w:pStyle w:val="MarginSubhead"/>
            </w:pPr>
            <w:r w:rsidRPr="00B71D90">
              <w:t>Documents and corrective actions</w:t>
            </w:r>
          </w:p>
        </w:tc>
        <w:tc>
          <w:tcPr>
            <w:tcW w:w="7830" w:type="dxa"/>
          </w:tcPr>
          <w:p w:rsidR="007512B8" w:rsidRPr="00B71D90" w:rsidRDefault="007512B8" w:rsidP="007B3AB1">
            <w:pPr>
              <w:pStyle w:val="Body"/>
            </w:pPr>
            <w:r w:rsidRPr="00B71D90">
              <w:t xml:space="preserve">The organization submits additional documents and implements corrective actions based on requests from the auditor at the onsite visit or in the follow-up documentation. Timely completion of corrective actions gives the auditor adequate time to determine their effect on the results before the DM submission date. </w:t>
            </w:r>
          </w:p>
        </w:tc>
      </w:tr>
    </w:tbl>
    <w:p w:rsidR="007512B8" w:rsidRDefault="007512B8">
      <w:pPr>
        <w:sectPr w:rsidR="007512B8" w:rsidSect="00550D6B">
          <w:footnotePr>
            <w:numStart w:val="2"/>
          </w:footnotePr>
          <w:pgSz w:w="12240" w:h="15840" w:code="1"/>
          <w:pgMar w:top="1080" w:right="1080" w:bottom="1080" w:left="1440" w:header="720" w:footer="720" w:gutter="0"/>
          <w:cols w:space="720"/>
        </w:sectPr>
      </w:pPr>
    </w:p>
    <w:tbl>
      <w:tblPr>
        <w:tblW w:w="0" w:type="auto"/>
        <w:tblInd w:w="-72" w:type="dxa"/>
        <w:tblLayout w:type="fixed"/>
        <w:tblLook w:val="0000"/>
      </w:tblPr>
      <w:tblGrid>
        <w:gridCol w:w="2070"/>
        <w:gridCol w:w="7830"/>
      </w:tblGrid>
      <w:tr w:rsidR="009107FC" w:rsidRPr="00B71D90" w:rsidTr="00A12CFC">
        <w:tc>
          <w:tcPr>
            <w:tcW w:w="2070" w:type="dxa"/>
          </w:tcPr>
          <w:p w:rsidR="009107FC" w:rsidRPr="00B71D90" w:rsidRDefault="009107FC" w:rsidP="007512B8">
            <w:pPr>
              <w:pStyle w:val="MarginSubhead"/>
              <w:spacing w:before="0"/>
            </w:pPr>
            <w:r w:rsidRPr="00B71D90">
              <w:lastRenderedPageBreak/>
              <w:t>Audit results</w:t>
            </w:r>
          </w:p>
        </w:tc>
        <w:tc>
          <w:tcPr>
            <w:tcW w:w="7830" w:type="dxa"/>
          </w:tcPr>
          <w:p w:rsidR="009107FC" w:rsidRPr="00B71D90" w:rsidRDefault="00AE2FD5" w:rsidP="007512B8">
            <w:pPr>
              <w:pStyle w:val="Body"/>
              <w:spacing w:before="0"/>
            </w:pPr>
            <w:r w:rsidRPr="00B71D90">
              <w:t xml:space="preserve">DM </w:t>
            </w:r>
            <w:r w:rsidR="009107FC" w:rsidRPr="00B71D90">
              <w:t>audits result in audited rates or calculations at the measure level and indicate if the measures can be reported publicly. All measures selected for reporting by the organization have a final, audited result.</w:t>
            </w:r>
          </w:p>
        </w:tc>
      </w:tr>
      <w:tr w:rsidR="009107FC" w:rsidRPr="00B71D90" w:rsidTr="00A12CFC">
        <w:tc>
          <w:tcPr>
            <w:tcW w:w="2070" w:type="dxa"/>
          </w:tcPr>
          <w:p w:rsidR="009107FC" w:rsidRPr="00B71D90" w:rsidRDefault="009107FC" w:rsidP="009107FC">
            <w:pPr>
              <w:pStyle w:val="MarginSubhead"/>
              <w:rPr>
                <w:smallCaps/>
              </w:rPr>
            </w:pPr>
            <w:r w:rsidRPr="00B71D90">
              <w:t>Final Audit Report</w:t>
            </w:r>
          </w:p>
        </w:tc>
        <w:tc>
          <w:tcPr>
            <w:tcW w:w="7830" w:type="dxa"/>
          </w:tcPr>
          <w:p w:rsidR="009107FC" w:rsidRPr="00B71D90" w:rsidRDefault="009107FC" w:rsidP="009107FC">
            <w:pPr>
              <w:pStyle w:val="Body"/>
            </w:pPr>
            <w:r w:rsidRPr="00B71D90">
              <w:t>After the organization provides all requested documents, performs the recommended corrective actions and submits the measure results, the auditor prepares the Final Audit Report and sends it to the organization and to NCQA.</w:t>
            </w:r>
          </w:p>
        </w:tc>
      </w:tr>
    </w:tbl>
    <w:p w:rsidR="00803967" w:rsidRPr="00B71D90" w:rsidRDefault="00803967" w:rsidP="007950EF"/>
    <w:p w:rsidR="00822941" w:rsidRDefault="00822941" w:rsidP="007950EF">
      <w:pPr>
        <w:sectPr w:rsidR="00822941" w:rsidSect="00550D6B">
          <w:footnotePr>
            <w:numStart w:val="2"/>
          </w:footnotePr>
          <w:pgSz w:w="12240" w:h="15840" w:code="1"/>
          <w:pgMar w:top="1080" w:right="1080" w:bottom="1080" w:left="1440" w:header="720" w:footer="720" w:gutter="0"/>
          <w:cols w:space="720"/>
        </w:sectPr>
      </w:pPr>
    </w:p>
    <w:p w:rsidR="00803967" w:rsidRPr="00B71D90" w:rsidRDefault="00803967" w:rsidP="007950EF"/>
    <w:p w:rsidR="00914316" w:rsidRPr="00B71D90" w:rsidRDefault="00914316" w:rsidP="007950EF">
      <w:pPr>
        <w:sectPr w:rsidR="00914316" w:rsidRPr="00B71D90" w:rsidSect="00550D6B">
          <w:headerReference w:type="even" r:id="rId55"/>
          <w:footnotePr>
            <w:numStart w:val="2"/>
          </w:footnotePr>
          <w:pgSz w:w="12240" w:h="15840" w:code="1"/>
          <w:pgMar w:top="1080" w:right="1080" w:bottom="1080" w:left="1440" w:header="720" w:footer="720" w:gutter="0"/>
          <w:cols w:space="720"/>
        </w:sectPr>
      </w:pPr>
    </w:p>
    <w:p w:rsidR="00803967" w:rsidRPr="00B71D90" w:rsidRDefault="00803967" w:rsidP="00822941">
      <w:pPr>
        <w:pStyle w:val="Breakpage"/>
      </w:pPr>
    </w:p>
    <w:p w:rsidR="00803967" w:rsidRPr="00B71D90" w:rsidRDefault="00803967" w:rsidP="00822941">
      <w:pPr>
        <w:pStyle w:val="Breakpage"/>
      </w:pPr>
    </w:p>
    <w:p w:rsidR="00803967" w:rsidRPr="00B71D90" w:rsidRDefault="00803967" w:rsidP="00822941">
      <w:pPr>
        <w:pStyle w:val="Breakpage"/>
      </w:pPr>
    </w:p>
    <w:p w:rsidR="00914316" w:rsidRPr="00B71D90" w:rsidRDefault="00914316" w:rsidP="00822941">
      <w:pPr>
        <w:pStyle w:val="Breakpage"/>
      </w:pPr>
    </w:p>
    <w:p w:rsidR="00914316" w:rsidRPr="00B71D90" w:rsidRDefault="00914316" w:rsidP="00822941">
      <w:pPr>
        <w:pStyle w:val="Breakpage"/>
      </w:pPr>
    </w:p>
    <w:p w:rsidR="00803967" w:rsidRPr="00B71D90" w:rsidRDefault="00803967" w:rsidP="00822941">
      <w:pPr>
        <w:pStyle w:val="Breakpage"/>
      </w:pPr>
      <w:r w:rsidRPr="00B71D90">
        <w:t>Policies and Procedures</w:t>
      </w:r>
    </w:p>
    <w:p w:rsidR="00914316" w:rsidRPr="00B71D90" w:rsidRDefault="00914316" w:rsidP="00914316"/>
    <w:p w:rsidR="00914316" w:rsidRPr="00B71D90" w:rsidRDefault="00914316">
      <w:pPr>
        <w:pStyle w:val="Heading1"/>
        <w:spacing w:after="120"/>
        <w:ind w:left="360"/>
        <w:sectPr w:rsidR="00914316" w:rsidRPr="00B71D90" w:rsidSect="00550D6B">
          <w:headerReference w:type="default" r:id="rId56"/>
          <w:footerReference w:type="default" r:id="rId57"/>
          <w:footnotePr>
            <w:numStart w:val="2"/>
          </w:footnotePr>
          <w:pgSz w:w="12240" w:h="15840" w:code="1"/>
          <w:pgMar w:top="1080" w:right="1080" w:bottom="1080" w:left="1440" w:header="720" w:footer="720" w:gutter="0"/>
          <w:cols w:space="720"/>
        </w:sectPr>
      </w:pPr>
    </w:p>
    <w:p w:rsidR="00803967" w:rsidRPr="00B71D90" w:rsidRDefault="00803967" w:rsidP="007F7C7D">
      <w:pPr>
        <w:sectPr w:rsidR="00803967" w:rsidRPr="00B71D90" w:rsidSect="00550D6B">
          <w:headerReference w:type="even" r:id="rId58"/>
          <w:footerReference w:type="even" r:id="rId59"/>
          <w:footnotePr>
            <w:numStart w:val="2"/>
          </w:footnotePr>
          <w:pgSz w:w="12240" w:h="15840" w:code="1"/>
          <w:pgMar w:top="1080" w:right="1080" w:bottom="1080" w:left="1440" w:header="720" w:footer="720" w:gutter="0"/>
          <w:cols w:space="720"/>
        </w:sectPr>
      </w:pPr>
    </w:p>
    <w:p w:rsidR="00803967" w:rsidRPr="00B71D90" w:rsidRDefault="00803967">
      <w:pPr>
        <w:pStyle w:val="StdTitle"/>
        <w:jc w:val="center"/>
        <w:rPr>
          <w:sz w:val="32"/>
        </w:rPr>
      </w:pPr>
      <w:bookmarkStart w:id="26" w:name="_Toc435951248"/>
      <w:bookmarkStart w:id="27" w:name="_Toc435951788"/>
      <w:bookmarkStart w:id="28" w:name="_Toc435952886"/>
      <w:bookmarkStart w:id="29" w:name="_Toc436025098"/>
      <w:bookmarkStart w:id="30" w:name="_Toc436025206"/>
      <w:bookmarkStart w:id="31" w:name="_Toc438017963"/>
      <w:bookmarkStart w:id="32" w:name="_Toc438018868"/>
      <w:r w:rsidRPr="00B71D90">
        <w:rPr>
          <w:sz w:val="32"/>
        </w:rPr>
        <w:lastRenderedPageBreak/>
        <w:t>Policies and Procedures</w:t>
      </w:r>
    </w:p>
    <w:p w:rsidR="00803967" w:rsidRPr="00B71D90" w:rsidRDefault="00803967">
      <w:pPr>
        <w:pStyle w:val="StdHead"/>
        <w:rPr>
          <w:color w:val="auto"/>
        </w:rPr>
      </w:pPr>
      <w:r w:rsidRPr="00B71D90">
        <w:rPr>
          <w:color w:val="auto"/>
        </w:rPr>
        <w:t>The NCQA HEDIS Compliance Audit</w:t>
      </w:r>
      <w:bookmarkEnd w:id="26"/>
      <w:bookmarkEnd w:id="27"/>
      <w:bookmarkEnd w:id="28"/>
      <w:bookmarkEnd w:id="29"/>
      <w:bookmarkEnd w:id="30"/>
      <w:bookmarkEnd w:id="31"/>
      <w:bookmarkEnd w:id="32"/>
      <w:r w:rsidR="005713D5" w:rsidRPr="00B71D90">
        <w:rPr>
          <w:color w:val="auto"/>
        </w:rPr>
        <w:t xml:space="preserve"> </w:t>
      </w:r>
    </w:p>
    <w:tbl>
      <w:tblPr>
        <w:tblW w:w="0" w:type="auto"/>
        <w:tblInd w:w="-72" w:type="dxa"/>
        <w:tblLayout w:type="fixed"/>
        <w:tblLook w:val="0000"/>
      </w:tblPr>
      <w:tblGrid>
        <w:gridCol w:w="2340"/>
        <w:gridCol w:w="7560"/>
      </w:tblGrid>
      <w:tr w:rsidR="001D5955" w:rsidRPr="00B71D90" w:rsidTr="00681AC0">
        <w:trPr>
          <w:cantSplit/>
        </w:trPr>
        <w:tc>
          <w:tcPr>
            <w:tcW w:w="2340" w:type="dxa"/>
          </w:tcPr>
          <w:p w:rsidR="001D5955" w:rsidRPr="00B71D90" w:rsidRDefault="005246E0" w:rsidP="005B11F3">
            <w:pPr>
              <w:pStyle w:val="MarginSubhead"/>
            </w:pPr>
            <w:r w:rsidRPr="00B71D90">
              <w:t xml:space="preserve">Healthcare </w:t>
            </w:r>
            <w:r w:rsidR="002742E7" w:rsidRPr="00B71D90">
              <w:t>o</w:t>
            </w:r>
            <w:r w:rsidR="006A4760" w:rsidRPr="00B71D90">
              <w:t>rganization</w:t>
            </w:r>
            <w:r w:rsidR="001D5955" w:rsidRPr="00B71D90">
              <w:t xml:space="preserve"> responsibilities</w:t>
            </w:r>
          </w:p>
        </w:tc>
        <w:tc>
          <w:tcPr>
            <w:tcW w:w="7560" w:type="dxa"/>
          </w:tcPr>
          <w:p w:rsidR="001D5955" w:rsidRPr="00B71D90" w:rsidRDefault="001D5955" w:rsidP="00AE2FD5">
            <w:pPr>
              <w:pStyle w:val="ProcessBullet"/>
              <w:numPr>
                <w:ilvl w:val="0"/>
                <w:numId w:val="0"/>
              </w:numPr>
              <w:spacing w:before="180"/>
            </w:pPr>
            <w:r w:rsidRPr="00B71D90">
              <w:t>An</w:t>
            </w:r>
            <w:r w:rsidR="001604D2" w:rsidRPr="00B71D90">
              <w:t>y</w:t>
            </w:r>
            <w:r w:rsidRPr="00B71D90">
              <w:t xml:space="preserve"> organization that produces a HEDIS report may undergo an NCQA HEDIS Compliance Audit. Licensed </w:t>
            </w:r>
            <w:r w:rsidR="00294BAB" w:rsidRPr="00B71D90">
              <w:t>O</w:t>
            </w:r>
            <w:r w:rsidRPr="00B71D90">
              <w:t xml:space="preserve">rganizations contracting with a </w:t>
            </w:r>
            <w:r w:rsidR="008A6FEB" w:rsidRPr="00B71D90">
              <w:t>health</w:t>
            </w:r>
            <w:r w:rsidR="007C23C3" w:rsidRPr="00B71D90">
              <w:t xml:space="preserve"> </w:t>
            </w:r>
            <w:r w:rsidR="008A6FEB" w:rsidRPr="00B71D90">
              <w:t xml:space="preserve">care </w:t>
            </w:r>
            <w:r w:rsidR="006A4760" w:rsidRPr="00B71D90">
              <w:t>organization</w:t>
            </w:r>
            <w:r w:rsidRPr="00B71D90">
              <w:t xml:space="preserve"> should ensure that NCQA’s requirements are met. </w:t>
            </w:r>
            <w:r w:rsidR="008A6FEB" w:rsidRPr="00B71D90">
              <w:t>Health</w:t>
            </w:r>
            <w:r w:rsidR="007C23C3" w:rsidRPr="00B71D90">
              <w:t xml:space="preserve"> </w:t>
            </w:r>
            <w:r w:rsidR="008A6FEB" w:rsidRPr="00B71D90">
              <w:t>care o</w:t>
            </w:r>
            <w:r w:rsidR="006A4760" w:rsidRPr="00B71D90">
              <w:t>rganization</w:t>
            </w:r>
            <w:r w:rsidRPr="00B71D90">
              <w:t xml:space="preserve"> requirements and responsibilities are listed in</w:t>
            </w:r>
            <w:r w:rsidR="00AE2FD5" w:rsidRPr="00B71D90">
              <w:t xml:space="preserve"> the </w:t>
            </w:r>
            <w:r w:rsidRPr="00B71D90">
              <w:t>Technical Specifications</w:t>
            </w:r>
            <w:r w:rsidRPr="00B71D90">
              <w:rPr>
                <w:i/>
              </w:rPr>
              <w:t>.</w:t>
            </w:r>
          </w:p>
        </w:tc>
      </w:tr>
      <w:tr w:rsidR="00803967" w:rsidRPr="00B71D90" w:rsidTr="00681AC0">
        <w:tc>
          <w:tcPr>
            <w:tcW w:w="2340" w:type="dxa"/>
          </w:tcPr>
          <w:p w:rsidR="00803967" w:rsidRPr="00B71D90" w:rsidRDefault="00803967" w:rsidP="005B11F3">
            <w:pPr>
              <w:pStyle w:val="MarginSubhead"/>
            </w:pPr>
            <w:bookmarkStart w:id="33" w:name="_Toc435951241"/>
            <w:bookmarkStart w:id="34" w:name="_Toc435951782"/>
            <w:bookmarkStart w:id="35" w:name="_Toc435952880"/>
            <w:bookmarkStart w:id="36" w:name="_Toc436025092"/>
            <w:bookmarkStart w:id="37" w:name="_Toc436025200"/>
            <w:bookmarkStart w:id="38" w:name="_Toc438017956"/>
            <w:bookmarkStart w:id="39" w:name="_Toc438018861"/>
            <w:r w:rsidRPr="00B71D90">
              <w:t>Licensed Organization and Certified Auditor qualifications</w:t>
            </w:r>
            <w:bookmarkEnd w:id="33"/>
            <w:bookmarkEnd w:id="34"/>
            <w:bookmarkEnd w:id="35"/>
            <w:bookmarkEnd w:id="36"/>
            <w:bookmarkEnd w:id="37"/>
            <w:bookmarkEnd w:id="38"/>
            <w:bookmarkEnd w:id="39"/>
          </w:p>
        </w:tc>
        <w:tc>
          <w:tcPr>
            <w:tcW w:w="7560" w:type="dxa"/>
          </w:tcPr>
          <w:p w:rsidR="00803967" w:rsidRPr="00B71D90" w:rsidRDefault="00803967">
            <w:pPr>
              <w:pStyle w:val="Body"/>
            </w:pPr>
            <w:r w:rsidRPr="00B71D90">
              <w:t xml:space="preserve">NCQA has a licensing program for organizations interested in conducting HEDIS Audits and a certification program for individual auditors. NCQA posts lists of Licensed Organizations and Certified Auditors on its Web site under </w:t>
            </w:r>
            <w:r w:rsidRPr="00B71D90">
              <w:rPr>
                <w:b/>
              </w:rPr>
              <w:t>HEDIS programs</w:t>
            </w:r>
            <w:r w:rsidRPr="00B71D90">
              <w:t xml:space="preserve">. </w:t>
            </w:r>
          </w:p>
        </w:tc>
      </w:tr>
      <w:tr w:rsidR="00803967" w:rsidRPr="00B71D90" w:rsidTr="00681AC0">
        <w:tc>
          <w:tcPr>
            <w:tcW w:w="2340" w:type="dxa"/>
          </w:tcPr>
          <w:p w:rsidR="00803967" w:rsidRPr="00B71D90" w:rsidRDefault="00803967">
            <w:pPr>
              <w:pStyle w:val="MarginSubhead"/>
            </w:pPr>
            <w:r w:rsidRPr="00B71D90">
              <w:t>Licensed Organization</w:t>
            </w:r>
          </w:p>
        </w:tc>
        <w:tc>
          <w:tcPr>
            <w:tcW w:w="7560" w:type="dxa"/>
          </w:tcPr>
          <w:p w:rsidR="009826D0" w:rsidRPr="00B71D90" w:rsidRDefault="00294BAB">
            <w:pPr>
              <w:pStyle w:val="Body"/>
              <w:rPr>
                <w:rFonts w:cs="Arial"/>
                <w:i/>
                <w:szCs w:val="20"/>
              </w:rPr>
            </w:pPr>
            <w:r w:rsidRPr="00B71D90">
              <w:t>Organizations that conduct</w:t>
            </w:r>
            <w:r w:rsidR="00803967" w:rsidRPr="00B71D90">
              <w:t xml:space="preserve"> HEDIS Audits must be licensed by NCQA. </w:t>
            </w:r>
            <w:r w:rsidR="00986D46" w:rsidRPr="00B71D90">
              <w:t>O</w:t>
            </w:r>
            <w:r w:rsidR="003B32FD" w:rsidRPr="00B71D90">
              <w:t>rganization</w:t>
            </w:r>
            <w:r w:rsidR="00986D46" w:rsidRPr="00B71D90">
              <w:t>s</w:t>
            </w:r>
            <w:r w:rsidRPr="00B71D90">
              <w:t xml:space="preserve"> </w:t>
            </w:r>
            <w:r w:rsidR="00803967" w:rsidRPr="00B71D90">
              <w:t>must have applicable auditing experience and a working knowledge of the managed care industry and HEDIS</w:t>
            </w:r>
            <w:r w:rsidR="00986D46" w:rsidRPr="00B71D90">
              <w:t xml:space="preserve">, </w:t>
            </w:r>
            <w:r w:rsidR="009826D0" w:rsidRPr="00B71D90">
              <w:t xml:space="preserve">a Certified Auditor to act as the organization’s practice leader, </w:t>
            </w:r>
            <w:r w:rsidR="00803967" w:rsidRPr="00B71D90">
              <w:t xml:space="preserve">submit an application describing </w:t>
            </w:r>
            <w:r w:rsidR="00986D46" w:rsidRPr="00B71D90">
              <w:t>their</w:t>
            </w:r>
            <w:r w:rsidRPr="00B71D90">
              <w:t xml:space="preserve"> </w:t>
            </w:r>
            <w:r w:rsidR="00803967" w:rsidRPr="00B71D90">
              <w:t>experience and capabilities</w:t>
            </w:r>
            <w:r w:rsidR="00986D46" w:rsidRPr="00B71D90">
              <w:t>,</w:t>
            </w:r>
            <w:r w:rsidR="00803967" w:rsidRPr="00B71D90">
              <w:t xml:space="preserve"> pay a licensure fee and enter into a contract with NCQA. </w:t>
            </w:r>
          </w:p>
          <w:p w:rsidR="00294BAB" w:rsidRPr="00B71D90" w:rsidRDefault="00803967">
            <w:pPr>
              <w:pStyle w:val="Body"/>
            </w:pPr>
            <w:r w:rsidRPr="00B71D90">
              <w:t>Licensed Organizations are held to strict standards of conduct and accountability</w:t>
            </w:r>
            <w:r w:rsidR="00294BAB" w:rsidRPr="00B71D90">
              <w:t>. V</w:t>
            </w:r>
            <w:r w:rsidRPr="00B71D90">
              <w:t>iolations of the code of conduct can result in revocation of licensure and forfeiture of the licensure fee. Licensed Organizations must also comply with the Health Insurance Portability and Accountability Act (HIPAA). To maintain licensure, organization</w:t>
            </w:r>
            <w:r w:rsidR="00294BAB" w:rsidRPr="00B71D90">
              <w:t>s</w:t>
            </w:r>
            <w:r w:rsidRPr="00B71D90">
              <w:t xml:space="preserve"> must </w:t>
            </w:r>
            <w:r w:rsidR="009958D0" w:rsidRPr="00B71D90">
              <w:t xml:space="preserve">employ or </w:t>
            </w:r>
            <w:r w:rsidRPr="00B71D90">
              <w:t xml:space="preserve">contract </w:t>
            </w:r>
            <w:r w:rsidR="009958D0" w:rsidRPr="00B71D90">
              <w:t xml:space="preserve">directly </w:t>
            </w:r>
            <w:r w:rsidRPr="00B71D90">
              <w:t xml:space="preserve">with at least two Certified Auditors. </w:t>
            </w:r>
          </w:p>
          <w:p w:rsidR="00BE3E4A" w:rsidRPr="00B71D90" w:rsidRDefault="00803967" w:rsidP="00C757CD">
            <w:pPr>
              <w:pStyle w:val="Body"/>
            </w:pPr>
            <w:r w:rsidRPr="00B71D90">
              <w:t xml:space="preserve">Licensure is effective for one year and is renewed after </w:t>
            </w:r>
            <w:r w:rsidR="00986D46" w:rsidRPr="00B71D90">
              <w:t xml:space="preserve">payment of the licensure fee and </w:t>
            </w:r>
            <w:r w:rsidRPr="00B71D90">
              <w:t xml:space="preserve">review of the Licensed Organization previous year’s auditing work. </w:t>
            </w:r>
            <w:r w:rsidR="00294BAB" w:rsidRPr="00B71D90">
              <w:t>C</w:t>
            </w:r>
            <w:r w:rsidRPr="00B71D90">
              <w:t xml:space="preserve">ontact the NCQA Licensure and Certification Department at </w:t>
            </w:r>
            <w:hyperlink r:id="rId60" w:history="1">
              <w:r w:rsidR="00C757CD">
                <w:rPr>
                  <w:rStyle w:val="Hyperlink"/>
                  <w:color w:val="auto"/>
                </w:rPr>
                <w:t>CHCA</w:t>
              </w:r>
              <w:r w:rsidR="00C757CD" w:rsidRPr="00B71D90">
                <w:rPr>
                  <w:rStyle w:val="Hyperlink"/>
                  <w:color w:val="auto"/>
                </w:rPr>
                <w:t>@ncqa.org</w:t>
              </w:r>
            </w:hyperlink>
            <w:r w:rsidRPr="00B71D90">
              <w:t>.</w:t>
            </w:r>
          </w:p>
        </w:tc>
      </w:tr>
      <w:tr w:rsidR="005B11F3" w:rsidRPr="00B71D90" w:rsidTr="00681AC0">
        <w:tc>
          <w:tcPr>
            <w:tcW w:w="2340" w:type="dxa"/>
          </w:tcPr>
          <w:p w:rsidR="005B11F3" w:rsidRPr="00B71D90" w:rsidRDefault="005B11F3">
            <w:pPr>
              <w:pStyle w:val="MarginSubhead"/>
            </w:pPr>
            <w:r w:rsidRPr="00B71D90">
              <w:t>Certified HEDIS Compliance Auditor</w:t>
            </w:r>
          </w:p>
        </w:tc>
        <w:tc>
          <w:tcPr>
            <w:tcW w:w="7560" w:type="dxa"/>
          </w:tcPr>
          <w:p w:rsidR="005B11F3" w:rsidRPr="00B71D90" w:rsidRDefault="005B11F3">
            <w:pPr>
              <w:pStyle w:val="Body"/>
            </w:pPr>
            <w:r w:rsidRPr="00B71D90">
              <w:t>Applicant</w:t>
            </w:r>
            <w:r w:rsidR="00294BAB" w:rsidRPr="00B71D90">
              <w:t>s</w:t>
            </w:r>
            <w:r w:rsidRPr="00B71D90">
              <w:t xml:space="preserve"> for certification must pass an application review. </w:t>
            </w:r>
            <w:r w:rsidR="00294BAB" w:rsidRPr="00B71D90">
              <w:t>A</w:t>
            </w:r>
            <w:r w:rsidRPr="00B71D90">
              <w:t>pplicant</w:t>
            </w:r>
            <w:r w:rsidR="00294BAB" w:rsidRPr="00B71D90">
              <w:t>s</w:t>
            </w:r>
            <w:r w:rsidRPr="00B71D90">
              <w:t xml:space="preserve"> should have auditing experience and HEDIS knowledge and must submit at least two references that demonstrate exemplary professional skills and ethics. Following the application review, applicant</w:t>
            </w:r>
            <w:r w:rsidR="00294BAB" w:rsidRPr="00B71D90">
              <w:t>s</w:t>
            </w:r>
            <w:r w:rsidRPr="00B71D90">
              <w:t xml:space="preserve"> must pass an auditor certification exam and enter into a certification agreement with NCQA</w:t>
            </w:r>
            <w:r w:rsidR="00294BAB" w:rsidRPr="00B71D90">
              <w:t xml:space="preserve">. </w:t>
            </w:r>
            <w:r w:rsidR="001A64B5" w:rsidRPr="00B71D90">
              <w:t xml:space="preserve">Certification is </w:t>
            </w:r>
            <w:r w:rsidR="00294BAB" w:rsidRPr="00B71D90">
              <w:t xml:space="preserve">valid for two years for </w:t>
            </w:r>
            <w:r w:rsidR="00A149D6" w:rsidRPr="00B71D90">
              <w:t>a</w:t>
            </w:r>
            <w:r w:rsidR="00294BAB" w:rsidRPr="00B71D90">
              <w:t>uditors who meet</w:t>
            </w:r>
            <w:r w:rsidR="00B30271">
              <w:t xml:space="preserve"> the following criteria:</w:t>
            </w:r>
          </w:p>
          <w:p w:rsidR="005B11F3" w:rsidRPr="00B71D90" w:rsidRDefault="005B11F3" w:rsidP="00736D49">
            <w:pPr>
              <w:pStyle w:val="Bullet"/>
            </w:pPr>
            <w:r w:rsidRPr="00B71D90">
              <w:t xml:space="preserve">Participate in at least two </w:t>
            </w:r>
            <w:r w:rsidR="00C25849" w:rsidRPr="00B71D90">
              <w:t>a</w:t>
            </w:r>
            <w:r w:rsidRPr="00B71D90">
              <w:t>udits per year under the supervision of a Licens</w:t>
            </w:r>
            <w:r w:rsidR="006340B2" w:rsidRPr="00B71D90">
              <w:t>ed Organization</w:t>
            </w:r>
            <w:r w:rsidR="00B30271">
              <w:t>.</w:t>
            </w:r>
          </w:p>
          <w:p w:rsidR="005B11F3" w:rsidRPr="00B71D90" w:rsidRDefault="005B11F3" w:rsidP="00736D49">
            <w:pPr>
              <w:pStyle w:val="Bullet"/>
            </w:pPr>
            <w:r w:rsidRPr="00B71D90">
              <w:t xml:space="preserve">Attend the </w:t>
            </w:r>
            <w:r w:rsidR="00A149D6" w:rsidRPr="00B71D90">
              <w:t xml:space="preserve">annual </w:t>
            </w:r>
            <w:r w:rsidRPr="00B71D90">
              <w:t>Audit</w:t>
            </w:r>
            <w:r w:rsidR="006340B2" w:rsidRPr="00B71D90">
              <w:t>ors’ Update Conference</w:t>
            </w:r>
            <w:r w:rsidR="00F171C4">
              <w:t xml:space="preserve"> (AUC)</w:t>
            </w:r>
            <w:r w:rsidR="00B30271">
              <w:t>.</w:t>
            </w:r>
          </w:p>
          <w:p w:rsidR="005B11F3" w:rsidRPr="00B71D90" w:rsidRDefault="005B11F3" w:rsidP="00736D49">
            <w:pPr>
              <w:pStyle w:val="Bullet"/>
            </w:pPr>
            <w:r w:rsidRPr="00B71D90">
              <w:t xml:space="preserve">Obtain 12 hours of preapproved continuing education credits during the </w:t>
            </w:r>
            <w:r w:rsidR="00B30271">
              <w:t>two</w:t>
            </w:r>
            <w:r w:rsidR="006340B2" w:rsidRPr="00B71D90">
              <w:t>-year certification period</w:t>
            </w:r>
            <w:r w:rsidR="00B30271">
              <w:t>.</w:t>
            </w:r>
          </w:p>
          <w:p w:rsidR="005B11F3" w:rsidRPr="005717EA" w:rsidRDefault="005B11F3" w:rsidP="00736D49">
            <w:pPr>
              <w:pStyle w:val="Bullet"/>
            </w:pPr>
            <w:r w:rsidRPr="00B71D90">
              <w:t xml:space="preserve">Adhere to the Code of Professional Conduct in </w:t>
            </w:r>
            <w:r w:rsidRPr="00B71D90">
              <w:rPr>
                <w:i/>
              </w:rPr>
              <w:t>Appendix 1: Code of Professional Conduct for Certified HEDIS Compliance Auditors</w:t>
            </w:r>
            <w:r w:rsidR="00B30271">
              <w:rPr>
                <w:i/>
              </w:rPr>
              <w:t>.</w:t>
            </w:r>
          </w:p>
          <w:p w:rsidR="005717EA" w:rsidRPr="009610B5" w:rsidRDefault="005717EA" w:rsidP="001D03C5">
            <w:pPr>
              <w:pStyle w:val="Note"/>
            </w:pPr>
            <w:r w:rsidRPr="009610B5">
              <w:rPr>
                <w:b/>
              </w:rPr>
              <w:t>Note:</w:t>
            </w:r>
            <w:r w:rsidRPr="009610B5">
              <w:t xml:space="preserve"> Auditors unable to complete 2 audits during one of the certification years may apply for an alternate requirement, which may include a leave of absence or a redistribution of the required audits; but any al</w:t>
            </w:r>
            <w:r w:rsidR="009610B5" w:rsidRPr="009610B5">
              <w:t xml:space="preserve">ternative is </w:t>
            </w:r>
            <w:r w:rsidRPr="009610B5">
              <w:t>granted only at NCQA’s discretion.</w:t>
            </w:r>
          </w:p>
          <w:p w:rsidR="005B11F3" w:rsidRPr="00B71D90" w:rsidRDefault="00294BAB" w:rsidP="00F171C4">
            <w:pPr>
              <w:pStyle w:val="Body"/>
            </w:pPr>
            <w:r w:rsidRPr="00B71D90">
              <w:t>A</w:t>
            </w:r>
            <w:r w:rsidR="005B11F3" w:rsidRPr="00B71D90">
              <w:t>uditor</w:t>
            </w:r>
            <w:r w:rsidRPr="00B71D90">
              <w:t>s</w:t>
            </w:r>
            <w:r w:rsidR="005B11F3" w:rsidRPr="00B71D90">
              <w:t xml:space="preserve"> may be recertified by completing the recertification form, providing evidence that all requirements were met and paying the recertification fee. Violations of the Code of Professional Conduct can result in revocation of certification and forfeiture of the certification fee. </w:t>
            </w:r>
          </w:p>
        </w:tc>
      </w:tr>
    </w:tbl>
    <w:p w:rsidR="001D03C5" w:rsidRDefault="001D03C5">
      <w:pPr>
        <w:sectPr w:rsidR="001D03C5" w:rsidSect="00550D6B">
          <w:headerReference w:type="even" r:id="rId61"/>
          <w:headerReference w:type="default" r:id="rId62"/>
          <w:footerReference w:type="default" r:id="rId63"/>
          <w:footnotePr>
            <w:numStart w:val="2"/>
          </w:footnotePr>
          <w:pgSz w:w="12240" w:h="15840" w:code="1"/>
          <w:pgMar w:top="1080" w:right="1080" w:bottom="1080" w:left="1440" w:header="720" w:footer="720" w:gutter="0"/>
          <w:cols w:space="720"/>
        </w:sectPr>
      </w:pPr>
    </w:p>
    <w:tbl>
      <w:tblPr>
        <w:tblW w:w="0" w:type="auto"/>
        <w:tblInd w:w="-72" w:type="dxa"/>
        <w:tblLayout w:type="fixed"/>
        <w:tblLook w:val="0000"/>
      </w:tblPr>
      <w:tblGrid>
        <w:gridCol w:w="2340"/>
        <w:gridCol w:w="7560"/>
      </w:tblGrid>
      <w:tr w:rsidR="001D03C5" w:rsidRPr="00B71D90" w:rsidTr="00681AC0">
        <w:tc>
          <w:tcPr>
            <w:tcW w:w="2340" w:type="dxa"/>
          </w:tcPr>
          <w:p w:rsidR="001D03C5" w:rsidRPr="00B71D90" w:rsidRDefault="001D03C5">
            <w:pPr>
              <w:pStyle w:val="MarginSubhead"/>
            </w:pPr>
          </w:p>
        </w:tc>
        <w:tc>
          <w:tcPr>
            <w:tcW w:w="7560" w:type="dxa"/>
          </w:tcPr>
          <w:p w:rsidR="001D03C5" w:rsidRPr="00B71D90" w:rsidRDefault="001D03C5" w:rsidP="001D03C5">
            <w:pPr>
              <w:pStyle w:val="Body"/>
              <w:spacing w:before="0"/>
            </w:pPr>
            <w:r w:rsidRPr="00B71D90">
              <w:t xml:space="preserve">Individuals interested in certification should contact the NCQA Licensure and Certification Department at </w:t>
            </w:r>
            <w:hyperlink r:id="rId64" w:history="1">
              <w:r w:rsidRPr="00EE33A3">
                <w:rPr>
                  <w:rStyle w:val="Hyperlink"/>
                </w:rPr>
                <w:t>CHCA@ncqa.org</w:t>
              </w:r>
            </w:hyperlink>
            <w:r w:rsidRPr="00B71D90">
              <w:t>.</w:t>
            </w:r>
          </w:p>
        </w:tc>
      </w:tr>
    </w:tbl>
    <w:p w:rsidR="00803967" w:rsidRPr="00B71D90" w:rsidRDefault="00803967">
      <w:pPr>
        <w:pStyle w:val="StdHead"/>
        <w:rPr>
          <w:color w:val="auto"/>
        </w:rPr>
      </w:pPr>
      <w:bookmarkStart w:id="40" w:name="_Toc435951251"/>
      <w:bookmarkStart w:id="41" w:name="_Toc435951791"/>
      <w:bookmarkStart w:id="42" w:name="_Toc435952889"/>
      <w:bookmarkStart w:id="43" w:name="_Toc436025101"/>
      <w:bookmarkStart w:id="44" w:name="_Toc436025209"/>
      <w:bookmarkStart w:id="45" w:name="_Toc438017966"/>
      <w:bookmarkStart w:id="46" w:name="_Toc438018871"/>
      <w:r w:rsidRPr="00B71D90">
        <w:rPr>
          <w:color w:val="auto"/>
        </w:rPr>
        <w:t>Monitoring and Oversight of HEDIS Audits</w:t>
      </w:r>
    </w:p>
    <w:p w:rsidR="00803967" w:rsidRPr="00B71D90" w:rsidRDefault="00803967">
      <w:pPr>
        <w:pStyle w:val="Body"/>
      </w:pPr>
      <w:r w:rsidRPr="00B71D90">
        <w:t>To ensure the continued success of the audit program, NCQA administers a monitoring program that gives constructive feedback to Licensed Organizations and Certified Auditors. This program helps improve and evolve the practices of Certified Auditors and Licensed Organizations.</w:t>
      </w:r>
    </w:p>
    <w:tbl>
      <w:tblPr>
        <w:tblW w:w="0" w:type="auto"/>
        <w:tblInd w:w="-72" w:type="dxa"/>
        <w:tblLayout w:type="fixed"/>
        <w:tblLook w:val="0000"/>
      </w:tblPr>
      <w:tblGrid>
        <w:gridCol w:w="2430"/>
        <w:gridCol w:w="7470"/>
      </w:tblGrid>
      <w:tr w:rsidR="00803967" w:rsidRPr="00B71D90" w:rsidTr="00681AC0">
        <w:trPr>
          <w:cantSplit/>
        </w:trPr>
        <w:tc>
          <w:tcPr>
            <w:tcW w:w="2430" w:type="dxa"/>
          </w:tcPr>
          <w:p w:rsidR="00803967" w:rsidRPr="00B71D90" w:rsidRDefault="00803967" w:rsidP="00206784">
            <w:pPr>
              <w:pStyle w:val="MarginSubhead"/>
            </w:pPr>
            <w:r w:rsidRPr="00B71D90">
              <w:t xml:space="preserve">Program </w:t>
            </w:r>
            <w:r w:rsidR="007E0520" w:rsidRPr="00B71D90">
              <w:t>goals</w:t>
            </w:r>
          </w:p>
        </w:tc>
        <w:tc>
          <w:tcPr>
            <w:tcW w:w="7470" w:type="dxa"/>
          </w:tcPr>
          <w:p w:rsidR="00803967" w:rsidRPr="00B71D90" w:rsidRDefault="00206784" w:rsidP="00206784">
            <w:pPr>
              <w:pStyle w:val="ProcessBullet"/>
              <w:spacing w:before="180"/>
            </w:pPr>
            <w:r w:rsidRPr="00B71D90">
              <w:t>E</w:t>
            </w:r>
            <w:r w:rsidR="00803967" w:rsidRPr="00B71D90">
              <w:t xml:space="preserve">nsure that audits are conducted in a manner consistent with NCQA specifications, standards and </w:t>
            </w:r>
            <w:r w:rsidR="00E34593" w:rsidRPr="00B71D90">
              <w:t>policies</w:t>
            </w:r>
            <w:r w:rsidR="00803967" w:rsidRPr="00B71D90">
              <w:t xml:space="preserve"> and procedures</w:t>
            </w:r>
            <w:r w:rsidR="00B30271">
              <w:t>.</w:t>
            </w:r>
          </w:p>
          <w:p w:rsidR="00803967" w:rsidRPr="00B71D90" w:rsidRDefault="00206784" w:rsidP="00206784">
            <w:pPr>
              <w:pStyle w:val="ProcessBullet"/>
            </w:pPr>
            <w:r w:rsidRPr="00B71D90">
              <w:t>E</w:t>
            </w:r>
            <w:r w:rsidR="00803967" w:rsidRPr="00B71D90">
              <w:t>nsure that the rigor of audits is consistent across all Licensed Organizations and Certified Auditors</w:t>
            </w:r>
            <w:r w:rsidR="00B30271">
              <w:t>.</w:t>
            </w:r>
          </w:p>
          <w:p w:rsidR="00803967" w:rsidRPr="00B71D90" w:rsidRDefault="00206784" w:rsidP="00206784">
            <w:pPr>
              <w:pStyle w:val="ProcessBullet"/>
            </w:pPr>
            <w:r w:rsidRPr="00B71D90">
              <w:t>I</w:t>
            </w:r>
            <w:r w:rsidR="00803967" w:rsidRPr="00B71D90">
              <w:t>dentify opportunities for improvem</w:t>
            </w:r>
            <w:r w:rsidR="00901913" w:rsidRPr="00B71D90">
              <w:t>ent (design and implementation)</w:t>
            </w:r>
            <w:r w:rsidR="00B30271">
              <w:t>.</w:t>
            </w:r>
          </w:p>
        </w:tc>
      </w:tr>
      <w:tr w:rsidR="00803967" w:rsidRPr="00B71D90" w:rsidTr="00681AC0">
        <w:tc>
          <w:tcPr>
            <w:tcW w:w="2430" w:type="dxa"/>
          </w:tcPr>
          <w:p w:rsidR="00803967" w:rsidRPr="00B71D90" w:rsidRDefault="00803967" w:rsidP="00E57889">
            <w:pPr>
              <w:pStyle w:val="MarginSubhead"/>
            </w:pPr>
            <w:r w:rsidRPr="00B71D90">
              <w:t>Performance categories:</w:t>
            </w:r>
          </w:p>
        </w:tc>
        <w:tc>
          <w:tcPr>
            <w:tcW w:w="7470" w:type="dxa"/>
          </w:tcPr>
          <w:p w:rsidR="00803967" w:rsidRPr="00B71D90" w:rsidRDefault="00803967">
            <w:pPr>
              <w:pStyle w:val="Body"/>
            </w:pPr>
            <w:r w:rsidRPr="00B71D90">
              <w:t xml:space="preserve">NCQA evaluates the consistency of audit practices across organizations and auditors by observing individual Certified Auditors as they conduct HEDIS Audits at </w:t>
            </w:r>
            <w:r w:rsidR="006A4760" w:rsidRPr="00B71D90">
              <w:t>organization</w:t>
            </w:r>
            <w:r w:rsidRPr="00B71D90">
              <w:t>s and reviewing work papers for evidence that audits conform with NCQA methodology and documentation standards. NCQA assesses performance by Certified Auditors and Licensed Organizations in five major categories.</w:t>
            </w:r>
          </w:p>
        </w:tc>
      </w:tr>
      <w:tr w:rsidR="00803967" w:rsidRPr="00B71D90" w:rsidTr="00681AC0">
        <w:tc>
          <w:tcPr>
            <w:tcW w:w="2430" w:type="dxa"/>
          </w:tcPr>
          <w:p w:rsidR="00803967" w:rsidRPr="00B71D90" w:rsidRDefault="007C23C3" w:rsidP="0087696A">
            <w:pPr>
              <w:pStyle w:val="MarginSubhead"/>
              <w:ind w:left="612" w:hanging="270"/>
              <w:rPr>
                <w:i/>
              </w:rPr>
            </w:pPr>
            <w:r w:rsidRPr="00B71D90">
              <w:rPr>
                <w:i/>
              </w:rPr>
              <w:t>1.</w:t>
            </w:r>
            <w:r w:rsidRPr="00B71D90">
              <w:rPr>
                <w:i/>
              </w:rPr>
              <w:tab/>
            </w:r>
            <w:r w:rsidR="00803967" w:rsidRPr="00B71D90">
              <w:rPr>
                <w:i/>
              </w:rPr>
              <w:t>Pre</w:t>
            </w:r>
            <w:r w:rsidRPr="00B71D90">
              <w:rPr>
                <w:i/>
              </w:rPr>
              <w:t>-Audit</w:t>
            </w:r>
          </w:p>
        </w:tc>
        <w:tc>
          <w:tcPr>
            <w:tcW w:w="7470" w:type="dxa"/>
          </w:tcPr>
          <w:p w:rsidR="00803967" w:rsidRPr="00B71D90" w:rsidRDefault="003B32FD">
            <w:pPr>
              <w:pStyle w:val="Body"/>
            </w:pPr>
            <w:r w:rsidRPr="00B71D90">
              <w:t>A</w:t>
            </w:r>
            <w:r w:rsidR="00803967" w:rsidRPr="00B71D90">
              <w:t>udit strategy, team selection, preparation and initial assessment.</w:t>
            </w:r>
          </w:p>
        </w:tc>
      </w:tr>
      <w:tr w:rsidR="00803967" w:rsidRPr="00B71D90" w:rsidTr="00681AC0">
        <w:tc>
          <w:tcPr>
            <w:tcW w:w="2430" w:type="dxa"/>
          </w:tcPr>
          <w:p w:rsidR="00AC621B" w:rsidRPr="00B71D90" w:rsidRDefault="007C23C3">
            <w:pPr>
              <w:pStyle w:val="MarginSubhead"/>
              <w:ind w:left="612" w:hanging="270"/>
              <w:rPr>
                <w:i/>
              </w:rPr>
            </w:pPr>
            <w:r w:rsidRPr="00B71D90">
              <w:rPr>
                <w:i/>
              </w:rPr>
              <w:t xml:space="preserve">2. </w:t>
            </w:r>
            <w:r w:rsidRPr="00B71D90">
              <w:rPr>
                <w:i/>
              </w:rPr>
              <w:tab/>
            </w:r>
            <w:r w:rsidR="00803967" w:rsidRPr="00B71D90">
              <w:rPr>
                <w:i/>
              </w:rPr>
              <w:t>I</w:t>
            </w:r>
            <w:r w:rsidRPr="00B71D90">
              <w:rPr>
                <w:i/>
              </w:rPr>
              <w:t>S</w:t>
            </w:r>
            <w:r w:rsidR="0066659D" w:rsidRPr="00B71D90">
              <w:rPr>
                <w:i/>
              </w:rPr>
              <w:t xml:space="preserve"> </w:t>
            </w:r>
            <w:r w:rsidRPr="00B71D90">
              <w:rPr>
                <w:i/>
              </w:rPr>
              <w:t>Assessment</w:t>
            </w:r>
          </w:p>
        </w:tc>
        <w:tc>
          <w:tcPr>
            <w:tcW w:w="7470" w:type="dxa"/>
          </w:tcPr>
          <w:p w:rsidR="00803967" w:rsidRPr="00B71D90" w:rsidRDefault="003B32FD" w:rsidP="00DF06BD">
            <w:pPr>
              <w:pStyle w:val="Body"/>
            </w:pPr>
            <w:r w:rsidRPr="00B71D90">
              <w:t>E</w:t>
            </w:r>
            <w:r w:rsidR="00803967" w:rsidRPr="00B71D90">
              <w:t xml:space="preserve">valuation of </w:t>
            </w:r>
            <w:r w:rsidR="0066659D" w:rsidRPr="00B71D90">
              <w:t xml:space="preserve">information </w:t>
            </w:r>
            <w:r w:rsidR="00803967" w:rsidRPr="00B71D90">
              <w:t>systems and processes used to collect and report measures.</w:t>
            </w:r>
          </w:p>
        </w:tc>
      </w:tr>
      <w:tr w:rsidR="00803967" w:rsidRPr="00B71D90" w:rsidTr="00681AC0">
        <w:tc>
          <w:tcPr>
            <w:tcW w:w="2430" w:type="dxa"/>
          </w:tcPr>
          <w:p w:rsidR="00803967" w:rsidRPr="00B71D90" w:rsidRDefault="007C23C3" w:rsidP="0087696A">
            <w:pPr>
              <w:pStyle w:val="MarginSubhead"/>
              <w:ind w:left="612" w:hanging="270"/>
              <w:rPr>
                <w:i/>
              </w:rPr>
            </w:pPr>
            <w:r w:rsidRPr="00B71D90">
              <w:rPr>
                <w:i/>
              </w:rPr>
              <w:t xml:space="preserve">3. </w:t>
            </w:r>
            <w:r w:rsidRPr="00B71D90">
              <w:rPr>
                <w:i/>
              </w:rPr>
              <w:tab/>
            </w:r>
            <w:r w:rsidR="00803967" w:rsidRPr="00B71D90">
              <w:rPr>
                <w:i/>
              </w:rPr>
              <w:t xml:space="preserve">Measure </w:t>
            </w:r>
            <w:r w:rsidRPr="00B71D90">
              <w:rPr>
                <w:i/>
              </w:rPr>
              <w:t>Compliance</w:t>
            </w:r>
            <w:r w:rsidR="00C81800" w:rsidRPr="00B71D90">
              <w:rPr>
                <w:i/>
              </w:rPr>
              <w:t xml:space="preserve"> </w:t>
            </w:r>
            <w:r w:rsidR="00DF06BD" w:rsidRPr="00B71D90">
              <w:rPr>
                <w:i/>
              </w:rPr>
              <w:t xml:space="preserve">and </w:t>
            </w:r>
            <w:r w:rsidR="00C81800" w:rsidRPr="00B71D90">
              <w:rPr>
                <w:i/>
              </w:rPr>
              <w:t>Preliminary Rate Review</w:t>
            </w:r>
          </w:p>
        </w:tc>
        <w:tc>
          <w:tcPr>
            <w:tcW w:w="7470" w:type="dxa"/>
          </w:tcPr>
          <w:p w:rsidR="00803967" w:rsidRPr="00B71D90" w:rsidRDefault="003B32FD" w:rsidP="00DF06BD">
            <w:pPr>
              <w:pStyle w:val="Body"/>
            </w:pPr>
            <w:r w:rsidRPr="00B71D90">
              <w:t>D</w:t>
            </w:r>
            <w:r w:rsidR="00803967" w:rsidRPr="00B71D90">
              <w:t>etermination of compliance with technical specifications</w:t>
            </w:r>
            <w:r w:rsidR="00571C15" w:rsidRPr="00B71D90">
              <w:t xml:space="preserve"> and </w:t>
            </w:r>
            <w:r w:rsidR="00DD464E" w:rsidRPr="00B71D90">
              <w:t xml:space="preserve">evaluation of </w:t>
            </w:r>
            <w:r w:rsidR="00571C15" w:rsidRPr="00B71D90">
              <w:t>preliminary rates</w:t>
            </w:r>
            <w:r w:rsidR="00DD464E" w:rsidRPr="00B71D90">
              <w:t>.</w:t>
            </w:r>
          </w:p>
        </w:tc>
      </w:tr>
      <w:tr w:rsidR="00803967" w:rsidRPr="00B71D90" w:rsidTr="00681AC0">
        <w:tc>
          <w:tcPr>
            <w:tcW w:w="2430" w:type="dxa"/>
          </w:tcPr>
          <w:p w:rsidR="00803967" w:rsidRPr="00B71D90" w:rsidRDefault="00681AC0" w:rsidP="0087696A">
            <w:pPr>
              <w:pStyle w:val="MarginSubhead"/>
              <w:ind w:left="612" w:hanging="270"/>
              <w:rPr>
                <w:i/>
              </w:rPr>
            </w:pPr>
            <w:r>
              <w:rPr>
                <w:i/>
              </w:rPr>
              <w:t>4.</w:t>
            </w:r>
            <w:r>
              <w:rPr>
                <w:i/>
              </w:rPr>
              <w:tab/>
            </w:r>
            <w:r w:rsidR="00803967" w:rsidRPr="00B71D90">
              <w:rPr>
                <w:i/>
              </w:rPr>
              <w:t>Reporting</w:t>
            </w:r>
          </w:p>
        </w:tc>
        <w:tc>
          <w:tcPr>
            <w:tcW w:w="7470" w:type="dxa"/>
          </w:tcPr>
          <w:p w:rsidR="00803967" w:rsidRPr="00B71D90" w:rsidRDefault="00C81800" w:rsidP="00DF06BD">
            <w:pPr>
              <w:pStyle w:val="Body"/>
            </w:pPr>
            <w:r w:rsidRPr="00B71D90">
              <w:t xml:space="preserve">Conclusion </w:t>
            </w:r>
            <w:r w:rsidR="004C3B48" w:rsidRPr="00B71D90">
              <w:t>of</w:t>
            </w:r>
            <w:r w:rsidR="000E2D08" w:rsidRPr="00B71D90">
              <w:t xml:space="preserve"> </w:t>
            </w:r>
            <w:r w:rsidR="00803967" w:rsidRPr="00B71D90">
              <w:t>audit findings</w:t>
            </w:r>
            <w:r w:rsidRPr="00B71D90">
              <w:t xml:space="preserve"> and final rate review for</w:t>
            </w:r>
            <w:r w:rsidR="00803967" w:rsidRPr="00B71D90">
              <w:t xml:space="preserve"> rendering a final audit opinion.</w:t>
            </w:r>
          </w:p>
        </w:tc>
      </w:tr>
      <w:tr w:rsidR="00803967" w:rsidRPr="00B71D90" w:rsidTr="00681AC0">
        <w:tc>
          <w:tcPr>
            <w:tcW w:w="2430" w:type="dxa"/>
          </w:tcPr>
          <w:p w:rsidR="00803967" w:rsidRPr="00B71D90" w:rsidRDefault="007C23C3" w:rsidP="0087696A">
            <w:pPr>
              <w:pStyle w:val="MarginSubhead"/>
              <w:ind w:left="612" w:hanging="270"/>
              <w:rPr>
                <w:i/>
              </w:rPr>
            </w:pPr>
            <w:r w:rsidRPr="00B71D90">
              <w:rPr>
                <w:i/>
              </w:rPr>
              <w:t xml:space="preserve">5. </w:t>
            </w:r>
            <w:r w:rsidRPr="00B71D90">
              <w:rPr>
                <w:i/>
              </w:rPr>
              <w:tab/>
            </w:r>
            <w:r w:rsidR="00803967" w:rsidRPr="00B71D90">
              <w:rPr>
                <w:i/>
              </w:rPr>
              <w:t xml:space="preserve">Work </w:t>
            </w:r>
            <w:r w:rsidRPr="00B71D90">
              <w:rPr>
                <w:i/>
              </w:rPr>
              <w:t>Papers</w:t>
            </w:r>
          </w:p>
        </w:tc>
        <w:tc>
          <w:tcPr>
            <w:tcW w:w="7470" w:type="dxa"/>
          </w:tcPr>
          <w:p w:rsidR="00803967" w:rsidRPr="00B71D90" w:rsidRDefault="003B32FD" w:rsidP="00B4799A">
            <w:pPr>
              <w:pStyle w:val="Body"/>
            </w:pPr>
            <w:r w:rsidRPr="00B71D90">
              <w:t>D</w:t>
            </w:r>
            <w:r w:rsidR="00803967" w:rsidRPr="00B71D90">
              <w:t xml:space="preserve">ocumentation and evidence that support the audit activity and decisions in </w:t>
            </w:r>
            <w:r w:rsidR="00B4799A" w:rsidRPr="00B71D90">
              <w:t xml:space="preserve">all </w:t>
            </w:r>
            <w:r w:rsidR="00803967" w:rsidRPr="00B71D90">
              <w:t>major areas: offsite,</w:t>
            </w:r>
            <w:r w:rsidR="00ED55C9" w:rsidRPr="00B71D90">
              <w:t xml:space="preserve"> preliminary rate review,</w:t>
            </w:r>
            <w:r w:rsidR="00803967" w:rsidRPr="00B71D90">
              <w:t xml:space="preserve"> onsite, post-onsite</w:t>
            </w:r>
            <w:r w:rsidR="00ED55C9" w:rsidRPr="00B71D90">
              <w:t>, final rate review</w:t>
            </w:r>
            <w:r w:rsidR="00803967" w:rsidRPr="00B71D90">
              <w:t xml:space="preserve"> and overall audit effectiveness.</w:t>
            </w:r>
          </w:p>
        </w:tc>
      </w:tr>
      <w:tr w:rsidR="00803967" w:rsidRPr="00B71D90" w:rsidTr="00681AC0">
        <w:trPr>
          <w:cantSplit/>
        </w:trPr>
        <w:tc>
          <w:tcPr>
            <w:tcW w:w="2430" w:type="dxa"/>
          </w:tcPr>
          <w:p w:rsidR="00803967" w:rsidRPr="00B71D90" w:rsidRDefault="007E0520" w:rsidP="00BF1D46">
            <w:pPr>
              <w:pStyle w:val="MarginSubhead"/>
            </w:pPr>
            <w:r w:rsidRPr="00B71D90">
              <w:t>Monitoring results</w:t>
            </w:r>
          </w:p>
        </w:tc>
        <w:tc>
          <w:tcPr>
            <w:tcW w:w="7470" w:type="dxa"/>
          </w:tcPr>
          <w:p w:rsidR="00BF1D46" w:rsidRPr="00B71D90" w:rsidRDefault="007E0520" w:rsidP="007E0520">
            <w:pPr>
              <w:pStyle w:val="Body"/>
            </w:pPr>
            <w:r w:rsidRPr="00B71D90">
              <w:t xml:space="preserve">NCQA focuses on client communication, </w:t>
            </w:r>
            <w:r w:rsidR="005D5CDE" w:rsidRPr="00B71D90">
              <w:t xml:space="preserve">Roadmap </w:t>
            </w:r>
            <w:r w:rsidRPr="00B71D90">
              <w:t>assessment, core set selection and source code review strategies (when appropriate),</w:t>
            </w:r>
            <w:r w:rsidR="00532472" w:rsidRPr="00B71D90">
              <w:t xml:space="preserve"> </w:t>
            </w:r>
            <w:r w:rsidR="008828D7" w:rsidRPr="00B71D90">
              <w:t>MRR</w:t>
            </w:r>
            <w:r w:rsidR="00177C55">
              <w:t>V</w:t>
            </w:r>
            <w:r w:rsidRPr="00B71D90">
              <w:t xml:space="preserve">, information systems assessment and </w:t>
            </w:r>
            <w:r w:rsidR="00C25849" w:rsidRPr="00B71D90">
              <w:t xml:space="preserve">measure </w:t>
            </w:r>
            <w:r w:rsidRPr="00B71D90">
              <w:t>determination evaluation, documentation of issues and resolution,</w:t>
            </w:r>
            <w:r w:rsidR="00DD464E" w:rsidRPr="00B71D90">
              <w:t xml:space="preserve"> all rate validations, </w:t>
            </w:r>
            <w:r w:rsidRPr="00B71D90">
              <w:t xml:space="preserve">follow-up documentation, submission tool validation and Final Audit Reports. </w:t>
            </w:r>
          </w:p>
          <w:p w:rsidR="00803967" w:rsidRPr="00B71D90" w:rsidRDefault="007E0520" w:rsidP="00BF1D46">
            <w:pPr>
              <w:pStyle w:val="Body"/>
            </w:pPr>
            <w:r w:rsidRPr="00B71D90">
              <w:t>Licensed Organization</w:t>
            </w:r>
            <w:r w:rsidR="00B0793C" w:rsidRPr="00B71D90">
              <w:t>s</w:t>
            </w:r>
            <w:r w:rsidRPr="00B71D90">
              <w:t xml:space="preserve"> receive </w:t>
            </w:r>
            <w:r w:rsidR="00AC3F8D" w:rsidRPr="00B71D90">
              <w:t xml:space="preserve">an </w:t>
            </w:r>
            <w:r w:rsidRPr="00B71D90">
              <w:t xml:space="preserve">annual monitoring report from NCQA that </w:t>
            </w:r>
            <w:r w:rsidR="008828D7" w:rsidRPr="00B71D90">
              <w:t xml:space="preserve">identifies </w:t>
            </w:r>
            <w:r w:rsidRPr="00B71D90">
              <w:t>areas of achievement and areas for improvement.</w:t>
            </w:r>
            <w:r w:rsidR="00BF1D46" w:rsidRPr="00B71D90">
              <w:t xml:space="preserve"> </w:t>
            </w:r>
            <w:r w:rsidR="00803967" w:rsidRPr="00B71D90">
              <w:t xml:space="preserve">Licensed Organizations are required to submit a </w:t>
            </w:r>
            <w:r w:rsidR="007C23C3" w:rsidRPr="00B71D90">
              <w:t>Corrective Action P</w:t>
            </w:r>
            <w:r w:rsidR="00803967" w:rsidRPr="00B71D90">
              <w:t xml:space="preserve">lan </w:t>
            </w:r>
            <w:r w:rsidR="007C23C3" w:rsidRPr="00B71D90">
              <w:t xml:space="preserve">(CAP) </w:t>
            </w:r>
            <w:r w:rsidR="00803967" w:rsidRPr="00B71D90">
              <w:t>to NCQA</w:t>
            </w:r>
            <w:r w:rsidR="00681AC0">
              <w:br/>
            </w:r>
            <w:r w:rsidR="00803967" w:rsidRPr="00B71D90">
              <w:t>for all identified areas of improvement.</w:t>
            </w:r>
          </w:p>
          <w:p w:rsidR="00803967" w:rsidRPr="00B71D90" w:rsidRDefault="00803967" w:rsidP="00C25849">
            <w:pPr>
              <w:pStyle w:val="Body"/>
              <w:rPr>
                <w:b/>
              </w:rPr>
            </w:pPr>
            <w:r w:rsidRPr="00B71D90">
              <w:t xml:space="preserve">NCQA </w:t>
            </w:r>
            <w:r w:rsidR="00C10995" w:rsidRPr="00B71D90">
              <w:t xml:space="preserve">may </w:t>
            </w:r>
            <w:r w:rsidRPr="00B71D90">
              <w:t xml:space="preserve">also monitor the quality and satisfaction of the HEDIS Audit Program through a survey provided to audited </w:t>
            </w:r>
            <w:r w:rsidR="006A4760" w:rsidRPr="00B71D90">
              <w:t>organization</w:t>
            </w:r>
            <w:r w:rsidRPr="00B71D90">
              <w:t xml:space="preserve">s </w:t>
            </w:r>
            <w:r w:rsidR="00AC3F8D" w:rsidRPr="00B71D90">
              <w:t>after</w:t>
            </w:r>
            <w:r w:rsidRPr="00B71D90">
              <w:t xml:space="preserve"> each reporting cycle. </w:t>
            </w:r>
            <w:r w:rsidR="00B0793C" w:rsidRPr="00B71D90">
              <w:t>Organizations rate their</w:t>
            </w:r>
            <w:r w:rsidRPr="00B71D90">
              <w:t xml:space="preserve"> Licensed Organization on various aspects of the audit process</w:t>
            </w:r>
            <w:r w:rsidR="00B0793C" w:rsidRPr="00B71D90">
              <w:t>,</w:t>
            </w:r>
            <w:r w:rsidRPr="00B71D90">
              <w:t xml:space="preserve"> and the findings are used in ongoing evaluation of Licensed Organizations and audit standards and guidelines.</w:t>
            </w:r>
          </w:p>
        </w:tc>
      </w:tr>
    </w:tbl>
    <w:p w:rsidR="00206784" w:rsidRPr="00B71D90" w:rsidRDefault="00206784" w:rsidP="00206784">
      <w:pPr>
        <w:sectPr w:rsidR="00206784" w:rsidRPr="00B71D90" w:rsidSect="00550D6B">
          <w:footnotePr>
            <w:numStart w:val="2"/>
          </w:footnotePr>
          <w:pgSz w:w="12240" w:h="15840" w:code="1"/>
          <w:pgMar w:top="1080" w:right="1080" w:bottom="1080" w:left="1440" w:header="720" w:footer="720" w:gutter="0"/>
          <w:cols w:space="720"/>
        </w:sectPr>
      </w:pPr>
    </w:p>
    <w:p w:rsidR="00803967" w:rsidRPr="00B71D90" w:rsidRDefault="00803967" w:rsidP="00206784">
      <w:pPr>
        <w:pStyle w:val="StdHead"/>
        <w:spacing w:before="0"/>
        <w:rPr>
          <w:color w:val="auto"/>
        </w:rPr>
      </w:pPr>
      <w:r w:rsidRPr="00B71D90">
        <w:rPr>
          <w:color w:val="auto"/>
        </w:rPr>
        <w:lastRenderedPageBreak/>
        <w:t>Portability of Opinion</w:t>
      </w:r>
    </w:p>
    <w:p w:rsidR="00206784" w:rsidRPr="00B71D90" w:rsidRDefault="00206784">
      <w:pPr>
        <w:pStyle w:val="Body"/>
      </w:pPr>
      <w:r w:rsidRPr="00B71D90">
        <w:t xml:space="preserve">Because accountability at the measure level is crucial to maintaining audit integrity, NCQA allows an audit result rendered by one Licensed Organization to be used in another Licensed Organization’s opinion without further review. </w:t>
      </w:r>
    </w:p>
    <w:p w:rsidR="00206784" w:rsidRPr="00B71D90" w:rsidRDefault="00206784">
      <w:pPr>
        <w:pStyle w:val="Body"/>
      </w:pPr>
      <w:r w:rsidRPr="00B71D90">
        <w:t xml:space="preserve">NCQA does not allow portability of audit opinions at the process level (i.e., IS review, </w:t>
      </w:r>
      <w:r w:rsidR="008828D7" w:rsidRPr="00B71D90">
        <w:t>MRR</w:t>
      </w:r>
      <w:r w:rsidRPr="00B71D90">
        <w:t xml:space="preserve"> validation); therefore, one Licensed Organization’s assessment of vendor information systems is not transferable to another Licensed Organization.</w:t>
      </w:r>
    </w:p>
    <w:p w:rsidR="00803967" w:rsidRPr="00B71D90" w:rsidRDefault="00803967" w:rsidP="00206784">
      <w:pPr>
        <w:pStyle w:val="StdHead"/>
        <w:rPr>
          <w:color w:val="auto"/>
        </w:rPr>
      </w:pPr>
      <w:bookmarkStart w:id="47" w:name="_Toc435951253"/>
      <w:bookmarkStart w:id="48" w:name="_Toc435951793"/>
      <w:bookmarkStart w:id="49" w:name="_Toc435952891"/>
      <w:bookmarkStart w:id="50" w:name="_Toc436025103"/>
      <w:bookmarkStart w:id="51" w:name="_Toc436025211"/>
      <w:bookmarkStart w:id="52" w:name="_Toc438017968"/>
      <w:bookmarkStart w:id="53" w:name="_Toc438018873"/>
      <w:bookmarkEnd w:id="40"/>
      <w:bookmarkEnd w:id="41"/>
      <w:bookmarkEnd w:id="42"/>
      <w:bookmarkEnd w:id="43"/>
      <w:bookmarkEnd w:id="44"/>
      <w:bookmarkEnd w:id="45"/>
      <w:bookmarkEnd w:id="46"/>
      <w:r w:rsidRPr="00B71D90">
        <w:rPr>
          <w:color w:val="auto"/>
        </w:rPr>
        <w:t>Audit Appeal and Grievance Procedures</w:t>
      </w:r>
      <w:bookmarkEnd w:id="47"/>
      <w:bookmarkEnd w:id="48"/>
      <w:bookmarkEnd w:id="49"/>
      <w:bookmarkEnd w:id="50"/>
      <w:bookmarkEnd w:id="51"/>
      <w:bookmarkEnd w:id="52"/>
      <w:bookmarkEnd w:id="53"/>
    </w:p>
    <w:p w:rsidR="00206784" w:rsidRPr="003C4E09" w:rsidRDefault="00206784">
      <w:pPr>
        <w:pStyle w:val="Body"/>
      </w:pPr>
      <w:r w:rsidRPr="003C4E09">
        <w:t>The Licensed Organization must maintain an appeal process</w:t>
      </w:r>
      <w:r w:rsidR="00CB689D" w:rsidRPr="003C4E09">
        <w:t xml:space="preserve"> that gives an audit client </w:t>
      </w:r>
      <w:r w:rsidRPr="003C4E09">
        <w:t xml:space="preserve">the opportunity to </w:t>
      </w:r>
      <w:r w:rsidR="00CB689D" w:rsidRPr="003C4E09">
        <w:t>file a complaint</w:t>
      </w:r>
      <w:r w:rsidR="007B0B50" w:rsidRPr="003C4E09">
        <w:t xml:space="preserve"> or </w:t>
      </w:r>
      <w:r w:rsidRPr="003C4E09">
        <w:t>appeal a</w:t>
      </w:r>
      <w:r w:rsidR="00C25849" w:rsidRPr="003C4E09">
        <w:t>n</w:t>
      </w:r>
      <w:r w:rsidRPr="003C4E09">
        <w:t xml:space="preserve"> audit result issued by the Licensed Organization. </w:t>
      </w:r>
      <w:r w:rsidR="00CB689D" w:rsidRPr="003C4E09">
        <w:t xml:space="preserve">The </w:t>
      </w:r>
      <w:r w:rsidRPr="003C4E09">
        <w:t xml:space="preserve">written appeal process </w:t>
      </w:r>
      <w:r w:rsidR="00CB689D" w:rsidRPr="003C4E09">
        <w:t xml:space="preserve">must be submitted </w:t>
      </w:r>
      <w:r w:rsidRPr="003C4E09">
        <w:t>to NCQA for approval as a condition of licensure</w:t>
      </w:r>
      <w:r w:rsidR="00CB689D" w:rsidRPr="003C4E09">
        <w:t>,</w:t>
      </w:r>
      <w:r w:rsidRPr="003C4E09">
        <w:t xml:space="preserve"> and </w:t>
      </w:r>
      <w:r w:rsidR="00CB689D" w:rsidRPr="003C4E09">
        <w:t xml:space="preserve">the Licensed Organization </w:t>
      </w:r>
      <w:r w:rsidRPr="003C4E09">
        <w:t>must conduct all appeals in compliance with the</w:t>
      </w:r>
      <w:r w:rsidR="00CB689D" w:rsidRPr="003C4E09">
        <w:t xml:space="preserve"> approved </w:t>
      </w:r>
      <w:r w:rsidRPr="003C4E09">
        <w:t>appeal process. Any changes to the appeal process must be approved in advance by NCQA.</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15"/>
        <w:gridCol w:w="7985"/>
      </w:tblGrid>
      <w:tr w:rsidR="00803967" w:rsidRPr="003C4E09" w:rsidTr="00406854">
        <w:tc>
          <w:tcPr>
            <w:tcW w:w="1915" w:type="dxa"/>
            <w:tcBorders>
              <w:top w:val="nil"/>
              <w:left w:val="nil"/>
              <w:bottom w:val="nil"/>
              <w:right w:val="nil"/>
            </w:tcBorders>
            <w:tcMar>
              <w:left w:w="115" w:type="dxa"/>
              <w:right w:w="115" w:type="dxa"/>
            </w:tcMar>
          </w:tcPr>
          <w:p w:rsidR="00803967" w:rsidRPr="003C4E09" w:rsidRDefault="002E7E9B">
            <w:pPr>
              <w:pStyle w:val="MarginSubhead"/>
            </w:pPr>
            <w:r w:rsidRPr="003C4E09">
              <w:t xml:space="preserve">Licensed Organization </w:t>
            </w:r>
            <w:r w:rsidR="00803967" w:rsidRPr="003C4E09">
              <w:t>responsibility</w:t>
            </w:r>
          </w:p>
        </w:tc>
        <w:tc>
          <w:tcPr>
            <w:tcW w:w="7985" w:type="dxa"/>
            <w:tcBorders>
              <w:top w:val="nil"/>
              <w:left w:val="nil"/>
              <w:bottom w:val="nil"/>
              <w:right w:val="nil"/>
            </w:tcBorders>
            <w:tcMar>
              <w:left w:w="115" w:type="dxa"/>
              <w:right w:w="115" w:type="dxa"/>
            </w:tcMar>
          </w:tcPr>
          <w:p w:rsidR="002B382A" w:rsidRDefault="002B382A">
            <w:pPr>
              <w:pStyle w:val="Body"/>
              <w:rPr>
                <w:color w:val="000000"/>
              </w:rPr>
            </w:pPr>
            <w:r>
              <w:rPr>
                <w:color w:val="000000"/>
              </w:rPr>
              <w:t>The Licensed Organization must inform the audit client that any changes in rates resulting from an appeal may not be eligible for resubmission to NCQA for inclusion in NCQA’s reporting products or accreditation</w:t>
            </w:r>
            <w:r w:rsidR="002A05A5">
              <w:rPr>
                <w:color w:val="000000"/>
              </w:rPr>
              <w:t>,</w:t>
            </w:r>
            <w:r>
              <w:rPr>
                <w:color w:val="000000"/>
              </w:rPr>
              <w:t xml:space="preserve"> due to publication timelines and other submission deadlines set by third</w:t>
            </w:r>
            <w:r w:rsidR="002A05A5">
              <w:rPr>
                <w:color w:val="000000"/>
              </w:rPr>
              <w:t>-</w:t>
            </w:r>
            <w:r>
              <w:rPr>
                <w:color w:val="000000"/>
              </w:rPr>
              <w:t>party stakeholders</w:t>
            </w:r>
            <w:r w:rsidR="002A05A5">
              <w:rPr>
                <w:color w:val="000000"/>
              </w:rPr>
              <w:t>,</w:t>
            </w:r>
            <w:r>
              <w:rPr>
                <w:color w:val="000000"/>
              </w:rPr>
              <w:t xml:space="preserve"> including CMS. </w:t>
            </w:r>
          </w:p>
          <w:p w:rsidR="00E35460" w:rsidRPr="003C4E09" w:rsidRDefault="00803967">
            <w:pPr>
              <w:pStyle w:val="Body"/>
            </w:pPr>
            <w:r w:rsidRPr="003C4E09">
              <w:t xml:space="preserve">The Licensed Organization must notify </w:t>
            </w:r>
            <w:r w:rsidR="001F6D4C" w:rsidRPr="003C4E09">
              <w:t xml:space="preserve">the </w:t>
            </w:r>
            <w:r w:rsidR="0066659D" w:rsidRPr="003C4E09">
              <w:t xml:space="preserve">NCQA </w:t>
            </w:r>
            <w:r w:rsidR="002B382A">
              <w:t>assistant vice president of measure validation</w:t>
            </w:r>
            <w:r w:rsidR="00CB689D" w:rsidRPr="003C4E09">
              <w:t>,</w:t>
            </w:r>
            <w:r w:rsidRPr="003C4E09">
              <w:t xml:space="preserve"> </w:t>
            </w:r>
            <w:r w:rsidR="001F6D4C" w:rsidRPr="003C4E09">
              <w:t>in writing</w:t>
            </w:r>
            <w:r w:rsidR="00CB689D" w:rsidRPr="003C4E09">
              <w:t>, within two business days of the filing,</w:t>
            </w:r>
            <w:r w:rsidR="001F6D4C" w:rsidRPr="003C4E09">
              <w:t xml:space="preserve"> </w:t>
            </w:r>
            <w:r w:rsidR="00CB689D" w:rsidRPr="003C4E09">
              <w:t>of</w:t>
            </w:r>
            <w:r w:rsidR="00E35460" w:rsidRPr="003C4E09">
              <w:t>:</w:t>
            </w:r>
          </w:p>
          <w:p w:rsidR="00E35460" w:rsidRPr="003C4E09" w:rsidRDefault="002258D2" w:rsidP="00E35460">
            <w:pPr>
              <w:pStyle w:val="Bullet"/>
            </w:pPr>
            <w:r w:rsidRPr="003C4E09">
              <w:t>A</w:t>
            </w:r>
            <w:r w:rsidR="00E35460" w:rsidRPr="003C4E09">
              <w:t xml:space="preserve">ny complaint </w:t>
            </w:r>
            <w:r w:rsidR="00803967" w:rsidRPr="003C4E09">
              <w:t xml:space="preserve">filed against </w:t>
            </w:r>
            <w:r w:rsidR="00E35460" w:rsidRPr="003C4E09">
              <w:t>the Licensed Organization</w:t>
            </w:r>
            <w:r w:rsidR="00AC2EA4" w:rsidRPr="003C4E09">
              <w:t>.</w:t>
            </w:r>
          </w:p>
          <w:p w:rsidR="00E35460" w:rsidRPr="003C4E09" w:rsidRDefault="002258D2" w:rsidP="00E35460">
            <w:pPr>
              <w:pStyle w:val="Bullet"/>
            </w:pPr>
            <w:r w:rsidRPr="003C4E09">
              <w:t>A</w:t>
            </w:r>
            <w:r w:rsidR="00E35460" w:rsidRPr="003C4E09">
              <w:t>ny complaint filed against</w:t>
            </w:r>
            <w:r w:rsidR="00CB689D" w:rsidRPr="003C4E09">
              <w:t xml:space="preserve"> an auditor</w:t>
            </w:r>
            <w:r w:rsidR="00E35460" w:rsidRPr="003C4E09">
              <w:t xml:space="preserve"> employed or directly contracted by the Licensed Organization to perform HEDIS Audits</w:t>
            </w:r>
            <w:r w:rsidR="00AC2EA4" w:rsidRPr="003C4E09">
              <w:t>.</w:t>
            </w:r>
          </w:p>
          <w:p w:rsidR="00E35460" w:rsidRPr="003C4E09" w:rsidRDefault="002258D2" w:rsidP="00E35460">
            <w:pPr>
              <w:pStyle w:val="Bullet"/>
            </w:pPr>
            <w:r w:rsidRPr="003C4E09">
              <w:t>A</w:t>
            </w:r>
            <w:r w:rsidR="00C13C3E" w:rsidRPr="003C4E09">
              <w:t xml:space="preserve">n appeal </w:t>
            </w:r>
            <w:r w:rsidR="00CB689D" w:rsidRPr="003C4E09">
              <w:t xml:space="preserve">about </w:t>
            </w:r>
            <w:r w:rsidR="00C13C3E" w:rsidRPr="003C4E09">
              <w:t>a measure result</w:t>
            </w:r>
            <w:r w:rsidR="00CB689D" w:rsidRPr="003C4E09">
              <w:t xml:space="preserve">. </w:t>
            </w:r>
          </w:p>
          <w:p w:rsidR="00803967" w:rsidRDefault="00E35460">
            <w:pPr>
              <w:pStyle w:val="Body"/>
            </w:pPr>
            <w:r w:rsidRPr="003C4E09">
              <w:t xml:space="preserve">The Licensed Organization shall investigate and respond in a timely manner (not to exceed 14 calendar days from filing). </w:t>
            </w:r>
            <w:r w:rsidR="002258D2" w:rsidRPr="003C4E09">
              <w:t>It</w:t>
            </w:r>
            <w:r w:rsidR="00803967" w:rsidRPr="003C4E09">
              <w:t xml:space="preserve"> must inform</w:t>
            </w:r>
            <w:r w:rsidR="0066659D" w:rsidRPr="003C4E09">
              <w:t xml:space="preserve"> NCQA</w:t>
            </w:r>
            <w:r w:rsidR="00803967" w:rsidRPr="003C4E09">
              <w:t xml:space="preserve"> of the </w:t>
            </w:r>
            <w:r w:rsidR="0066659D" w:rsidRPr="003C4E09">
              <w:t xml:space="preserve">investigation’s </w:t>
            </w:r>
            <w:r w:rsidR="00803967" w:rsidRPr="003C4E09">
              <w:t>progress and must notify NCQA of the outcome and the nature of any corrective action.</w:t>
            </w:r>
          </w:p>
          <w:p w:rsidR="002B382A" w:rsidRPr="003C4E09" w:rsidRDefault="00803967" w:rsidP="002258D2">
            <w:pPr>
              <w:pStyle w:val="Body"/>
            </w:pPr>
            <w:r w:rsidRPr="003C4E09">
              <w:t>NCQA may investigate a grievance filed with NCQA regarding the actions of the Licensed Organization</w:t>
            </w:r>
            <w:r w:rsidR="00E35460" w:rsidRPr="003C4E09">
              <w:t xml:space="preserve"> or a Certified HEDIS Compliance Auditor</w:t>
            </w:r>
            <w:r w:rsidRPr="003C4E09">
              <w:t xml:space="preserve">. The Licensed Organization agrees to cooperate fully in any investigation by NCQA and to institute corrective actions deemed necessary </w:t>
            </w:r>
            <w:r w:rsidR="002258D2" w:rsidRPr="003C4E09">
              <w:t xml:space="preserve">resulting from </w:t>
            </w:r>
            <w:r w:rsidRPr="003C4E09">
              <w:t xml:space="preserve">an investigation. A substantiated grievance may result in </w:t>
            </w:r>
            <w:r w:rsidR="008828D7" w:rsidRPr="003C4E09">
              <w:t>termination of</w:t>
            </w:r>
            <w:r w:rsidRPr="003C4E09">
              <w:t xml:space="preserve"> the organization</w:t>
            </w:r>
            <w:r w:rsidR="002258D2" w:rsidRPr="003C4E09">
              <w:t>’s</w:t>
            </w:r>
            <w:r w:rsidR="00E35460" w:rsidRPr="003C4E09">
              <w:t xml:space="preserve"> </w:t>
            </w:r>
            <w:r w:rsidRPr="003C4E09">
              <w:t>license</w:t>
            </w:r>
            <w:r w:rsidR="00E35460" w:rsidRPr="003C4E09">
              <w:t xml:space="preserve"> or the auditor’s certification</w:t>
            </w:r>
            <w:r w:rsidRPr="003C4E09">
              <w:t>.</w:t>
            </w:r>
          </w:p>
        </w:tc>
      </w:tr>
    </w:tbl>
    <w:p w:rsidR="002258D2" w:rsidRPr="003C4E09" w:rsidRDefault="002258D2" w:rsidP="008B0C0F">
      <w:pPr>
        <w:pStyle w:val="Body"/>
        <w:pBdr>
          <w:bottom w:val="single" w:sz="4" w:space="1" w:color="auto"/>
        </w:pBdr>
        <w:rPr>
          <w:b/>
          <w:i/>
          <w:sz w:val="22"/>
          <w:szCs w:val="22"/>
        </w:rPr>
      </w:pPr>
      <w:r w:rsidRPr="003C4E09">
        <w:rPr>
          <w:b/>
          <w:i/>
          <w:sz w:val="22"/>
          <w:szCs w:val="22"/>
        </w:rPr>
        <w:t>Note</w:t>
      </w:r>
    </w:p>
    <w:p w:rsidR="002258D2" w:rsidRPr="003C4E09" w:rsidRDefault="00901913" w:rsidP="00681AC0">
      <w:pPr>
        <w:pStyle w:val="ProcessBullet"/>
        <w:rPr>
          <w:i/>
        </w:rPr>
      </w:pPr>
      <w:r w:rsidRPr="003C4E09">
        <w:rPr>
          <w:i/>
        </w:rPr>
        <w:t>A</w:t>
      </w:r>
      <w:r w:rsidR="002258D2" w:rsidRPr="003C4E09">
        <w:rPr>
          <w:i/>
        </w:rPr>
        <w:t xml:space="preserve"> </w:t>
      </w:r>
      <w:r w:rsidR="00335386" w:rsidRPr="003C4E09">
        <w:rPr>
          <w:i/>
        </w:rPr>
        <w:t xml:space="preserve">HEDIS </w:t>
      </w:r>
      <w:r w:rsidR="002258D2" w:rsidRPr="003C4E09">
        <w:rPr>
          <w:i/>
        </w:rPr>
        <w:t>submission or resubmission after the established deadlines (June 15 for commercial</w:t>
      </w:r>
      <w:r w:rsidR="00BC35BE" w:rsidRPr="003C4E09">
        <w:rPr>
          <w:i/>
        </w:rPr>
        <w:t>,</w:t>
      </w:r>
      <w:r w:rsidR="00406854" w:rsidRPr="003C4E09">
        <w:rPr>
          <w:i/>
        </w:rPr>
        <w:t xml:space="preserve"> </w:t>
      </w:r>
      <w:r w:rsidR="002258D2" w:rsidRPr="003C4E09">
        <w:rPr>
          <w:i/>
        </w:rPr>
        <w:t>Medicaid and Medicare) is at risk of being excluded from NCQA’s public reports and programs.</w:t>
      </w:r>
    </w:p>
    <w:p w:rsidR="00803967" w:rsidRPr="00B71D90" w:rsidRDefault="00803967">
      <w:pPr>
        <w:pStyle w:val="StdHead"/>
        <w:rPr>
          <w:color w:val="auto"/>
        </w:rPr>
      </w:pPr>
      <w:bookmarkStart w:id="54" w:name="_Toc435951254"/>
      <w:bookmarkStart w:id="55" w:name="_Toc435951794"/>
      <w:bookmarkStart w:id="56" w:name="_Toc435952892"/>
      <w:bookmarkStart w:id="57" w:name="_Toc436025104"/>
      <w:bookmarkStart w:id="58" w:name="_Toc436025212"/>
      <w:bookmarkStart w:id="59" w:name="_Toc438017969"/>
      <w:bookmarkStart w:id="60" w:name="_Toc438018874"/>
      <w:r w:rsidRPr="00B71D90">
        <w:rPr>
          <w:color w:val="auto"/>
        </w:rPr>
        <w:t>Revisions to Policies and Procedures</w:t>
      </w:r>
      <w:bookmarkEnd w:id="54"/>
      <w:bookmarkEnd w:id="55"/>
      <w:bookmarkEnd w:id="56"/>
      <w:bookmarkEnd w:id="57"/>
      <w:bookmarkEnd w:id="58"/>
      <w:bookmarkEnd w:id="59"/>
      <w:bookmarkEnd w:id="60"/>
    </w:p>
    <w:p w:rsidR="00206784" w:rsidRPr="00B71D90" w:rsidRDefault="00A24386">
      <w:pPr>
        <w:pStyle w:val="Body"/>
      </w:pPr>
      <w:r w:rsidRPr="00B71D90">
        <w:t>At its sole discretion, NCQA may</w:t>
      </w:r>
      <w:r w:rsidR="00206784" w:rsidRPr="00B71D90">
        <w:t xml:space="preserve"> amend its </w:t>
      </w:r>
      <w:r w:rsidR="00206784" w:rsidRPr="00B71D90">
        <w:rPr>
          <w:i/>
        </w:rPr>
        <w:t>Policies and Procedures,</w:t>
      </w:r>
      <w:r w:rsidR="00206784" w:rsidRPr="00B71D90">
        <w:t xml:space="preserve"> </w:t>
      </w:r>
      <w:r w:rsidR="00406854" w:rsidRPr="00B71D90">
        <w:t>appeal and grievance proc</w:t>
      </w:r>
      <w:r w:rsidR="00206784" w:rsidRPr="00B71D90">
        <w:t xml:space="preserve">edures or any other </w:t>
      </w:r>
      <w:r w:rsidR="00406854" w:rsidRPr="00B71D90">
        <w:t>audit p</w:t>
      </w:r>
      <w:r w:rsidR="00206784" w:rsidRPr="00B71D90">
        <w:t>rogram policy.</w:t>
      </w:r>
    </w:p>
    <w:p w:rsidR="00206784" w:rsidRPr="00B71D90" w:rsidRDefault="00206784">
      <w:pPr>
        <w:pStyle w:val="Body"/>
      </w:pPr>
    </w:p>
    <w:p w:rsidR="00803967" w:rsidRPr="00B71D90" w:rsidRDefault="00803967">
      <w:pPr>
        <w:pStyle w:val="Body"/>
        <w:sectPr w:rsidR="00803967" w:rsidRPr="00B71D90" w:rsidSect="00550D6B">
          <w:footnotePr>
            <w:numStart w:val="2"/>
          </w:footnotePr>
          <w:pgSz w:w="12240" w:h="15840" w:code="1"/>
          <w:pgMar w:top="1080" w:right="1080" w:bottom="1080" w:left="1440" w:header="720" w:footer="720" w:gutter="0"/>
          <w:cols w:space="720"/>
        </w:sectPr>
      </w:pPr>
    </w:p>
    <w:p w:rsidR="00D20040" w:rsidRPr="00B71D90" w:rsidRDefault="00D20040" w:rsidP="00664C6E">
      <w:pPr>
        <w:sectPr w:rsidR="00D20040" w:rsidRPr="00B71D90" w:rsidSect="00550D6B">
          <w:headerReference w:type="even" r:id="rId65"/>
          <w:headerReference w:type="default" r:id="rId66"/>
          <w:footerReference w:type="default" r:id="rId67"/>
          <w:footnotePr>
            <w:numStart w:val="2"/>
          </w:footnotePr>
          <w:pgSz w:w="12240" w:h="15840" w:code="1"/>
          <w:pgMar w:top="1080" w:right="1080" w:bottom="1080" w:left="1440" w:header="720" w:footer="720" w:gutter="0"/>
          <w:cols w:space="720"/>
        </w:sectPr>
      </w:pPr>
    </w:p>
    <w:p w:rsidR="00803967" w:rsidRPr="00B71D90" w:rsidRDefault="00803967" w:rsidP="00406854">
      <w:pPr>
        <w:pStyle w:val="Breakpage"/>
      </w:pPr>
    </w:p>
    <w:p w:rsidR="00803967" w:rsidRPr="00B71D90" w:rsidRDefault="00803967" w:rsidP="00406854">
      <w:pPr>
        <w:pStyle w:val="Breakpage"/>
      </w:pPr>
    </w:p>
    <w:p w:rsidR="00803967" w:rsidRPr="00B71D90" w:rsidRDefault="00803967" w:rsidP="00406854">
      <w:pPr>
        <w:pStyle w:val="Breakpage"/>
      </w:pPr>
    </w:p>
    <w:p w:rsidR="00803967" w:rsidRPr="00B71D90" w:rsidRDefault="00803967" w:rsidP="00406854">
      <w:pPr>
        <w:pStyle w:val="Breakpage"/>
      </w:pPr>
    </w:p>
    <w:p w:rsidR="00803967" w:rsidRPr="00B71D90" w:rsidRDefault="00803967" w:rsidP="00406854">
      <w:pPr>
        <w:pStyle w:val="Breakpage"/>
      </w:pPr>
    </w:p>
    <w:p w:rsidR="00803967" w:rsidRPr="00B71D90" w:rsidRDefault="00803967" w:rsidP="00406854">
      <w:pPr>
        <w:pStyle w:val="Breakpage"/>
      </w:pPr>
      <w:bookmarkStart w:id="61" w:name="_Toc435951256"/>
      <w:r w:rsidRPr="00B71D90">
        <w:t>HEDIS Compliance Audit</w:t>
      </w:r>
      <w:r w:rsidRPr="00B71D90">
        <w:br/>
        <w:t>Standards</w:t>
      </w:r>
      <w:bookmarkEnd w:id="61"/>
    </w:p>
    <w:p w:rsidR="00803967" w:rsidRPr="00B71D90" w:rsidRDefault="00803967"/>
    <w:p w:rsidR="00803967" w:rsidRPr="00B71D90" w:rsidRDefault="00803967">
      <w:pPr>
        <w:ind w:left="360"/>
        <w:rPr>
          <w:sz w:val="48"/>
        </w:rPr>
        <w:sectPr w:rsidR="00803967" w:rsidRPr="00B71D90" w:rsidSect="00550D6B">
          <w:footnotePr>
            <w:numStart w:val="2"/>
          </w:footnotePr>
          <w:pgSz w:w="12240" w:h="15840" w:code="1"/>
          <w:pgMar w:top="1080" w:right="1080" w:bottom="1080" w:left="1440" w:header="720" w:footer="720" w:gutter="0"/>
          <w:cols w:space="720"/>
        </w:sectPr>
      </w:pPr>
    </w:p>
    <w:p w:rsidR="00803967" w:rsidRPr="00B71D90" w:rsidRDefault="00803967" w:rsidP="002258D2">
      <w:pPr>
        <w:sectPr w:rsidR="00803967" w:rsidRPr="00B71D90" w:rsidSect="00550D6B">
          <w:headerReference w:type="even" r:id="rId68"/>
          <w:headerReference w:type="default" r:id="rId69"/>
          <w:footerReference w:type="default" r:id="rId70"/>
          <w:footnotePr>
            <w:numStart w:val="2"/>
          </w:footnotePr>
          <w:pgSz w:w="12240" w:h="15840" w:code="1"/>
          <w:pgMar w:top="1080" w:right="1080" w:bottom="1080" w:left="1440" w:header="720" w:footer="720" w:gutter="0"/>
          <w:cols w:space="720"/>
        </w:sectPr>
      </w:pPr>
    </w:p>
    <w:p w:rsidR="00803967" w:rsidRPr="00B71D90" w:rsidRDefault="00803967">
      <w:pPr>
        <w:pStyle w:val="SectionHead"/>
      </w:pPr>
      <w:bookmarkStart w:id="62" w:name="_Toc435951257"/>
      <w:bookmarkStart w:id="63" w:name="_Toc435951796"/>
      <w:bookmarkStart w:id="64" w:name="_Toc435952894"/>
      <w:bookmarkStart w:id="65" w:name="_Toc436025106"/>
      <w:bookmarkStart w:id="66" w:name="_Toc436025214"/>
      <w:bookmarkStart w:id="67" w:name="_Toc438017971"/>
      <w:bookmarkStart w:id="68" w:name="_Toc438018876"/>
      <w:r w:rsidRPr="00B71D90">
        <w:lastRenderedPageBreak/>
        <w:t>HEDIS Compliance Audit Standards</w:t>
      </w:r>
      <w:bookmarkEnd w:id="62"/>
      <w:bookmarkEnd w:id="63"/>
      <w:bookmarkEnd w:id="64"/>
      <w:bookmarkEnd w:id="65"/>
      <w:bookmarkEnd w:id="66"/>
      <w:bookmarkEnd w:id="67"/>
      <w:bookmarkEnd w:id="68"/>
    </w:p>
    <w:p w:rsidR="00803967" w:rsidRPr="00B71D90" w:rsidRDefault="00803967">
      <w:pPr>
        <w:pStyle w:val="Body"/>
        <w:spacing w:before="0"/>
      </w:pPr>
      <w:r w:rsidRPr="00B71D90">
        <w:t xml:space="preserve">HEDIS Compliance Audit standards </w:t>
      </w:r>
      <w:r w:rsidR="00B70B49" w:rsidRPr="00B71D90">
        <w:t xml:space="preserve">describe requirements for </w:t>
      </w:r>
      <w:r w:rsidR="00335386" w:rsidRPr="00B71D90">
        <w:t xml:space="preserve">measure </w:t>
      </w:r>
      <w:r w:rsidR="00B70B49" w:rsidRPr="00B71D90">
        <w:t>data collection and reporting processes</w:t>
      </w:r>
      <w:r w:rsidR="008828D7" w:rsidRPr="00B71D90">
        <w:t xml:space="preserve">; </w:t>
      </w:r>
      <w:r w:rsidR="00B70B49" w:rsidRPr="00B71D90">
        <w:t xml:space="preserve">they </w:t>
      </w:r>
      <w:r w:rsidRPr="00B71D90">
        <w:t xml:space="preserve">are the foundation on which Certified HEDIS Compliance Auditors </w:t>
      </w:r>
      <w:r w:rsidR="002258D2" w:rsidRPr="00B71D90">
        <w:t xml:space="preserve">base </w:t>
      </w:r>
      <w:r w:rsidRPr="00B71D90">
        <w:t xml:space="preserve">the </w:t>
      </w:r>
      <w:r w:rsidR="006A4760" w:rsidRPr="00B71D90">
        <w:t>organization</w:t>
      </w:r>
      <w:r w:rsidRPr="00B71D90">
        <w:t>’s ability to report data accurately and reliably.</w:t>
      </w:r>
      <w:r w:rsidR="009456DC" w:rsidRPr="00B71D90">
        <w:t xml:space="preserve"> </w:t>
      </w:r>
    </w:p>
    <w:p w:rsidR="00803967" w:rsidRPr="00B71D90" w:rsidRDefault="00803967">
      <w:pPr>
        <w:pStyle w:val="Body"/>
      </w:pPr>
      <w:r w:rsidRPr="00B71D90">
        <w:t>The standards are divided into two sections</w:t>
      </w:r>
      <w:r w:rsidR="002A05A5">
        <w:t>:</w:t>
      </w:r>
    </w:p>
    <w:p w:rsidR="00803967" w:rsidRPr="00B71D90" w:rsidRDefault="00803967" w:rsidP="000E4366">
      <w:pPr>
        <w:pStyle w:val="ProcessBullet"/>
        <w:numPr>
          <w:ilvl w:val="0"/>
          <w:numId w:val="9"/>
        </w:numPr>
        <w:tabs>
          <w:tab w:val="clear" w:pos="1080"/>
        </w:tabs>
        <w:ind w:left="648" w:hanging="288"/>
        <w:rPr>
          <w:b/>
        </w:rPr>
      </w:pPr>
      <w:r w:rsidRPr="00B71D90">
        <w:t>Information System (IS) standards</w:t>
      </w:r>
      <w:r w:rsidR="002A05A5">
        <w:t>.</w:t>
      </w:r>
      <w:r w:rsidRPr="00B71D90">
        <w:t xml:space="preserve"> </w:t>
      </w:r>
    </w:p>
    <w:p w:rsidR="00803967" w:rsidRPr="00B71D90" w:rsidRDefault="0070263B" w:rsidP="000E4366">
      <w:pPr>
        <w:pStyle w:val="ProcessBullet"/>
        <w:numPr>
          <w:ilvl w:val="0"/>
          <w:numId w:val="9"/>
        </w:numPr>
        <w:tabs>
          <w:tab w:val="clear" w:pos="1080"/>
        </w:tabs>
        <w:ind w:left="648" w:hanging="288"/>
      </w:pPr>
      <w:r w:rsidRPr="00B71D90">
        <w:t xml:space="preserve">HEDIS </w:t>
      </w:r>
      <w:r w:rsidR="00A24386" w:rsidRPr="00B71D90">
        <w:t>Determination (HD) standards</w:t>
      </w:r>
      <w:r w:rsidR="002A05A5">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920"/>
      </w:tblGrid>
      <w:tr w:rsidR="00803967" w:rsidRPr="00B71D90">
        <w:tc>
          <w:tcPr>
            <w:tcW w:w="1980" w:type="dxa"/>
            <w:tcBorders>
              <w:top w:val="nil"/>
              <w:left w:val="nil"/>
              <w:bottom w:val="nil"/>
              <w:right w:val="nil"/>
            </w:tcBorders>
            <w:tcMar>
              <w:left w:w="115" w:type="dxa"/>
              <w:right w:w="115" w:type="dxa"/>
            </w:tcMar>
          </w:tcPr>
          <w:p w:rsidR="00803967" w:rsidRPr="00B71D90" w:rsidRDefault="00803967">
            <w:pPr>
              <w:pStyle w:val="MarginSubhead"/>
            </w:pPr>
            <w:r w:rsidRPr="00B71D90">
              <w:t>IS standards</w:t>
            </w:r>
          </w:p>
        </w:tc>
        <w:tc>
          <w:tcPr>
            <w:tcW w:w="7920" w:type="dxa"/>
            <w:tcBorders>
              <w:top w:val="nil"/>
              <w:left w:val="nil"/>
              <w:bottom w:val="nil"/>
              <w:right w:val="nil"/>
            </w:tcBorders>
            <w:tcMar>
              <w:left w:w="115" w:type="dxa"/>
              <w:right w:w="115" w:type="dxa"/>
            </w:tcMar>
          </w:tcPr>
          <w:p w:rsidR="00803967" w:rsidRPr="00B71D90" w:rsidRDefault="00803967">
            <w:pPr>
              <w:pStyle w:val="Body"/>
            </w:pPr>
            <w:r w:rsidRPr="00B71D90">
              <w:t xml:space="preserve">Because </w:t>
            </w:r>
            <w:r w:rsidR="00335386" w:rsidRPr="00B71D90">
              <w:t xml:space="preserve">measure </w:t>
            </w:r>
            <w:r w:rsidRPr="00B71D90">
              <w:t xml:space="preserve">data depend on the quality of </w:t>
            </w:r>
            <w:r w:rsidR="00834B4A" w:rsidRPr="00B71D90">
              <w:t>an</w:t>
            </w:r>
            <w:r w:rsidRPr="00B71D90">
              <w:t xml:space="preserve"> </w:t>
            </w:r>
            <w:r w:rsidR="006A4760" w:rsidRPr="00B71D90">
              <w:t>organization</w:t>
            </w:r>
            <w:r w:rsidRPr="00B71D90">
              <w:t xml:space="preserve">’s information systems, the </w:t>
            </w:r>
            <w:r w:rsidRPr="00B71D90">
              <w:rPr>
                <w:b/>
              </w:rPr>
              <w:t>IS standards</w:t>
            </w:r>
            <w:r w:rsidRPr="00B71D90">
              <w:t xml:space="preserve"> measure how the </w:t>
            </w:r>
            <w:r w:rsidR="006A4760" w:rsidRPr="00B71D90">
              <w:t>organization</w:t>
            </w:r>
            <w:r w:rsidRPr="00B71D90">
              <w:t xml:space="preserve"> collects, stores, analyzes and reports medical, </w:t>
            </w:r>
            <w:r w:rsidR="001E0CB9" w:rsidRPr="00B71D90">
              <w:t xml:space="preserve">customer </w:t>
            </w:r>
            <w:r w:rsidRPr="00B71D90">
              <w:t xml:space="preserve">service, member, practitioner and vendor data. An </w:t>
            </w:r>
            <w:r w:rsidR="006A4760" w:rsidRPr="00B71D90">
              <w:t>organization</w:t>
            </w:r>
            <w:r w:rsidRPr="00B71D90">
              <w:t xml:space="preserve"> without adequate capabilities for processing health information cannot report </w:t>
            </w:r>
            <w:r w:rsidR="00335386" w:rsidRPr="00B71D90">
              <w:t xml:space="preserve">measure </w:t>
            </w:r>
            <w:r w:rsidRPr="00B71D90">
              <w:t>information</w:t>
            </w:r>
            <w:r w:rsidR="00DA09B1" w:rsidRPr="00B71D90">
              <w:t xml:space="preserve"> accurately and reliably</w:t>
            </w:r>
            <w:r w:rsidRPr="00B71D90">
              <w:t>.</w:t>
            </w:r>
          </w:p>
          <w:p w:rsidR="00803967" w:rsidRPr="00B71D90" w:rsidRDefault="00803967" w:rsidP="00335386">
            <w:pPr>
              <w:pStyle w:val="Body"/>
            </w:pPr>
            <w:r w:rsidRPr="00B71D90">
              <w:t xml:space="preserve">The standards specify the minimum requirements </w:t>
            </w:r>
            <w:r w:rsidR="00B70B49" w:rsidRPr="00B71D90">
              <w:t xml:space="preserve">for </w:t>
            </w:r>
            <w:r w:rsidRPr="00B71D90">
              <w:t xml:space="preserve">information systems and criteria </w:t>
            </w:r>
            <w:r w:rsidR="00B70B49" w:rsidRPr="00B71D90">
              <w:t xml:space="preserve">for </w:t>
            </w:r>
            <w:r w:rsidRPr="00B71D90">
              <w:t xml:space="preserve">manual processes used in data collection. In short, meeting the IS standards ensures that the </w:t>
            </w:r>
            <w:r w:rsidR="006A4760" w:rsidRPr="00B71D90">
              <w:t>organization</w:t>
            </w:r>
            <w:r w:rsidRPr="00B71D90">
              <w:t xml:space="preserve"> has effective </w:t>
            </w:r>
            <w:r w:rsidR="002258D2" w:rsidRPr="00B71D90">
              <w:t>IS</w:t>
            </w:r>
            <w:r w:rsidRPr="00B71D90">
              <w:t xml:space="preserve"> practices and control procedures for </w:t>
            </w:r>
            <w:r w:rsidR="00335386" w:rsidRPr="00B71D90">
              <w:t xml:space="preserve">data </w:t>
            </w:r>
            <w:r w:rsidRPr="00B71D90">
              <w:t>reporting.</w:t>
            </w:r>
          </w:p>
        </w:tc>
      </w:tr>
      <w:tr w:rsidR="00803967" w:rsidRPr="00B71D90">
        <w:tc>
          <w:tcPr>
            <w:tcW w:w="1980" w:type="dxa"/>
            <w:tcBorders>
              <w:top w:val="nil"/>
              <w:left w:val="nil"/>
              <w:bottom w:val="nil"/>
              <w:right w:val="nil"/>
            </w:tcBorders>
            <w:tcMar>
              <w:left w:w="115" w:type="dxa"/>
              <w:right w:w="115" w:type="dxa"/>
            </w:tcMar>
          </w:tcPr>
          <w:p w:rsidR="00803967" w:rsidRPr="00B71D90" w:rsidRDefault="00803967">
            <w:pPr>
              <w:pStyle w:val="MarginSubhead"/>
            </w:pPr>
            <w:r w:rsidRPr="00B71D90">
              <w:t>HD standards</w:t>
            </w:r>
          </w:p>
        </w:tc>
        <w:tc>
          <w:tcPr>
            <w:tcW w:w="7920" w:type="dxa"/>
            <w:tcBorders>
              <w:top w:val="nil"/>
              <w:left w:val="nil"/>
              <w:bottom w:val="nil"/>
              <w:right w:val="nil"/>
            </w:tcBorders>
            <w:tcMar>
              <w:left w:w="115" w:type="dxa"/>
              <w:right w:w="115" w:type="dxa"/>
            </w:tcMar>
          </w:tcPr>
          <w:p w:rsidR="00803967" w:rsidRPr="00B71D90" w:rsidRDefault="00803967">
            <w:pPr>
              <w:pStyle w:val="Body"/>
            </w:pPr>
            <w:r w:rsidRPr="00B71D90">
              <w:t xml:space="preserve">Auditors use the </w:t>
            </w:r>
            <w:r w:rsidRPr="00B71D90">
              <w:rPr>
                <w:b/>
              </w:rPr>
              <w:t>HD standards</w:t>
            </w:r>
            <w:r w:rsidRPr="00B71D90">
              <w:t xml:space="preserve"> to assess the </w:t>
            </w:r>
            <w:r w:rsidR="006A4760" w:rsidRPr="00B71D90">
              <w:t>organization</w:t>
            </w:r>
            <w:r w:rsidRPr="00B71D90">
              <w:t xml:space="preserve">’s measure compliance </w:t>
            </w:r>
            <w:r w:rsidR="00406854">
              <w:br/>
            </w:r>
            <w:r w:rsidRPr="00B71D90">
              <w:t xml:space="preserve">(i.e., </w:t>
            </w:r>
            <w:r w:rsidR="00DB758C" w:rsidRPr="00B71D90">
              <w:t xml:space="preserve">determine </w:t>
            </w:r>
            <w:r w:rsidR="00B70B49" w:rsidRPr="00B71D90">
              <w:t xml:space="preserve">if </w:t>
            </w:r>
            <w:r w:rsidRPr="00B71D90">
              <w:t xml:space="preserve">the </w:t>
            </w:r>
            <w:r w:rsidR="006A4760" w:rsidRPr="00B71D90">
              <w:t>organization</w:t>
            </w:r>
            <w:r w:rsidRPr="00B71D90">
              <w:t xml:space="preserve"> adhered to the Technical Specifications). These standards describe specific information that the auditor</w:t>
            </w:r>
            <w:r w:rsidR="00556A66" w:rsidRPr="00B71D90">
              <w:t xml:space="preserve"> </w:t>
            </w:r>
            <w:r w:rsidRPr="00B71D90">
              <w:t>look</w:t>
            </w:r>
            <w:r w:rsidR="00556A66" w:rsidRPr="00B71D90">
              <w:t>s</w:t>
            </w:r>
            <w:r w:rsidRPr="00B71D90">
              <w:t xml:space="preserve"> for, such as proper identification of denominators</w:t>
            </w:r>
            <w:r w:rsidR="008828D7" w:rsidRPr="00B71D90">
              <w:t xml:space="preserve"> and </w:t>
            </w:r>
            <w:r w:rsidRPr="00B71D90">
              <w:t xml:space="preserve">numerators and verifying algorithms and rate calculations. Auditors must take into account </w:t>
            </w:r>
            <w:r w:rsidR="006A4760" w:rsidRPr="00B71D90">
              <w:t>organization</w:t>
            </w:r>
            <w:r w:rsidRPr="00B71D90">
              <w:t xml:space="preserve"> compliance with the IS and HD standards to fully assess reporting capabilities. </w:t>
            </w:r>
          </w:p>
          <w:p w:rsidR="00803967" w:rsidRPr="00B71D90" w:rsidRDefault="00803967">
            <w:pPr>
              <w:pStyle w:val="Body"/>
            </w:pPr>
            <w:r w:rsidRPr="00B71D90">
              <w:t xml:space="preserve">To verify compliance with these standards, NCQA requires that all applicable items be evaluated during an initial audit engagement or when applicable systems, processes or </w:t>
            </w:r>
            <w:r w:rsidR="00AC03F7" w:rsidRPr="00B71D90">
              <w:t>staffs have</w:t>
            </w:r>
            <w:r w:rsidRPr="00B71D90">
              <w:t xml:space="preserve"> changed from an earlier evaluation.</w:t>
            </w:r>
          </w:p>
        </w:tc>
      </w:tr>
      <w:tr w:rsidR="00DA09B1" w:rsidRPr="00B71D90">
        <w:tc>
          <w:tcPr>
            <w:tcW w:w="1980" w:type="dxa"/>
            <w:tcBorders>
              <w:top w:val="nil"/>
              <w:left w:val="nil"/>
              <w:bottom w:val="nil"/>
              <w:right w:val="nil"/>
            </w:tcBorders>
            <w:tcMar>
              <w:left w:w="115" w:type="dxa"/>
              <w:right w:w="115" w:type="dxa"/>
            </w:tcMar>
          </w:tcPr>
          <w:p w:rsidR="00DA09B1" w:rsidRPr="00B71D90" w:rsidRDefault="00DA09B1">
            <w:pPr>
              <w:pStyle w:val="MarginSubhead"/>
            </w:pPr>
            <w:r w:rsidRPr="00B71D90">
              <w:t xml:space="preserve">Auditor </w:t>
            </w:r>
            <w:r w:rsidR="006F5607" w:rsidRPr="00B71D90">
              <w:t>r</w:t>
            </w:r>
            <w:r w:rsidRPr="00B71D90">
              <w:t>eview</w:t>
            </w:r>
          </w:p>
        </w:tc>
        <w:tc>
          <w:tcPr>
            <w:tcW w:w="7920" w:type="dxa"/>
            <w:tcBorders>
              <w:top w:val="nil"/>
              <w:left w:val="nil"/>
              <w:bottom w:val="nil"/>
              <w:right w:val="nil"/>
            </w:tcBorders>
            <w:tcMar>
              <w:left w:w="115" w:type="dxa"/>
              <w:right w:w="115" w:type="dxa"/>
            </w:tcMar>
          </w:tcPr>
          <w:p w:rsidR="00DA09B1" w:rsidRPr="00B71D90" w:rsidRDefault="00DA09B1" w:rsidP="00FC3264">
            <w:pPr>
              <w:pStyle w:val="Body"/>
            </w:pPr>
            <w:r w:rsidRPr="00B71D90">
              <w:t xml:space="preserve">Auditors review the recommended processes and documents for each IS and HD standard. The review focuses on </w:t>
            </w:r>
            <w:r w:rsidR="00FC3264" w:rsidRPr="00B71D90">
              <w:t xml:space="preserve">the </w:t>
            </w:r>
            <w:r w:rsidRPr="00B71D90">
              <w:t>organization’</w:t>
            </w:r>
            <w:r w:rsidR="00FC3264" w:rsidRPr="00B71D90">
              <w:t>s</w:t>
            </w:r>
            <w:r w:rsidRPr="00B71D90">
              <w:t xml:space="preserve"> ability to comply with the standards and substantiate the measure results. The following sections list the typical process, systems and documents, but auditors may also review any items that affect compliance and reporting.</w:t>
            </w:r>
          </w:p>
        </w:tc>
      </w:tr>
    </w:tbl>
    <w:p w:rsidR="00803967" w:rsidRPr="00B71D90" w:rsidRDefault="00803967">
      <w:pPr>
        <w:pStyle w:val="Body"/>
        <w:sectPr w:rsidR="00803967" w:rsidRPr="00B71D90" w:rsidSect="00550D6B">
          <w:headerReference w:type="even" r:id="rId71"/>
          <w:headerReference w:type="default" r:id="rId72"/>
          <w:footerReference w:type="default" r:id="rId73"/>
          <w:footnotePr>
            <w:numStart w:val="2"/>
          </w:footnotePr>
          <w:pgSz w:w="12240" w:h="15840" w:code="1"/>
          <w:pgMar w:top="1080" w:right="1080" w:bottom="1080" w:left="1440" w:header="720" w:footer="720" w:gutter="0"/>
          <w:cols w:space="720"/>
        </w:sectPr>
      </w:pPr>
    </w:p>
    <w:p w:rsidR="007B7CBB" w:rsidRPr="00B71D90" w:rsidRDefault="007B7CBB" w:rsidP="007B7CBB">
      <w:pPr>
        <w:pStyle w:val="Heading2"/>
        <w:spacing w:after="0"/>
      </w:pPr>
      <w:r w:rsidRPr="00B71D90">
        <w:lastRenderedPageBreak/>
        <w:t xml:space="preserve">Information System Standards </w:t>
      </w:r>
    </w:p>
    <w:p w:rsidR="007B7CBB" w:rsidRPr="00B71D90" w:rsidRDefault="007B7CBB" w:rsidP="007B7CBB">
      <w:pPr>
        <w:pStyle w:val="Heading3"/>
        <w:pBdr>
          <w:top w:val="single" w:sz="4" w:space="2" w:color="auto"/>
          <w:bottom w:val="single" w:sz="4" w:space="2" w:color="auto"/>
        </w:pBdr>
      </w:pPr>
      <w:r w:rsidRPr="00B71D90">
        <w:t>IS 1.</w:t>
      </w:r>
      <w:r w:rsidR="005E2C78" w:rsidRPr="00B71D90">
        <w:t>0</w:t>
      </w:r>
      <w:r w:rsidR="005E2C78" w:rsidRPr="00B71D90">
        <w:tab/>
      </w:r>
      <w:r w:rsidRPr="00B71D90">
        <w:t>Medical Services Data</w:t>
      </w:r>
      <w:r w:rsidR="00A46F0D" w:rsidRPr="00B71D90">
        <w:t>—</w:t>
      </w:r>
      <w:r w:rsidRPr="00B71D90">
        <w:t>Sound Coding Methods</w:t>
      </w:r>
      <w:r w:rsidR="00DA09B1" w:rsidRPr="00B71D90">
        <w:t xml:space="preserve"> and</w:t>
      </w:r>
      <w:r w:rsidRPr="00B71D90">
        <w:t xml:space="preserve"> Data Capture, Transfer and Entry </w:t>
      </w:r>
    </w:p>
    <w:p w:rsidR="007B7CBB" w:rsidRPr="00B71D90" w:rsidRDefault="007B7CBB" w:rsidP="00C92DC4">
      <w:pPr>
        <w:pStyle w:val="StdText"/>
        <w:spacing w:before="120"/>
        <w:ind w:left="720" w:hanging="720"/>
      </w:pPr>
      <w:r w:rsidRPr="00B71D90">
        <w:t>IS 1.1</w:t>
      </w:r>
      <w:r w:rsidRPr="00B71D90">
        <w:tab/>
        <w:t>Industry standard codes (e.g., ICD-9-CM, CPT, DRG, HCPCS) are used and all characters are captured.</w:t>
      </w:r>
    </w:p>
    <w:p w:rsidR="007B7CBB" w:rsidRPr="00B71D90" w:rsidRDefault="00282749" w:rsidP="00FC3264">
      <w:pPr>
        <w:pStyle w:val="Bullet-1"/>
        <w:tabs>
          <w:tab w:val="clear" w:pos="576"/>
        </w:tabs>
        <w:ind w:left="900" w:hanging="180"/>
      </w:pPr>
      <w:r w:rsidRPr="00B71D90">
        <w:t>D</w:t>
      </w:r>
      <w:r w:rsidR="007B7CBB" w:rsidRPr="00B71D90">
        <w:t xml:space="preserve">ata submission documents and </w:t>
      </w:r>
      <w:r w:rsidR="00DA09B1" w:rsidRPr="00B71D90">
        <w:t xml:space="preserve">transaction </w:t>
      </w:r>
      <w:r w:rsidR="007B7CBB" w:rsidRPr="00B71D90">
        <w:t xml:space="preserve">files </w:t>
      </w:r>
      <w:r w:rsidR="00DA09B1" w:rsidRPr="00B71D90">
        <w:t xml:space="preserve">include </w:t>
      </w:r>
      <w:r w:rsidR="007B7CBB" w:rsidRPr="00B71D90">
        <w:t>industry standard codes with full character levels</w:t>
      </w:r>
      <w:r w:rsidR="00070DE8">
        <w:t>.</w:t>
      </w:r>
    </w:p>
    <w:p w:rsidR="00525958" w:rsidRPr="00B71D90" w:rsidRDefault="00525958" w:rsidP="00FC3264">
      <w:pPr>
        <w:pStyle w:val="Bullet-1"/>
        <w:tabs>
          <w:tab w:val="clear" w:pos="576"/>
        </w:tabs>
        <w:ind w:left="900" w:hanging="180"/>
      </w:pPr>
      <w:r w:rsidRPr="00B71D90">
        <w:t>Claims and encounter data entry screens allow entry of all codes and characters</w:t>
      </w:r>
      <w:r w:rsidR="00070DE8">
        <w:t>.</w:t>
      </w:r>
    </w:p>
    <w:p w:rsidR="007B7CBB" w:rsidRPr="00B71D90" w:rsidRDefault="00525958" w:rsidP="00FC3264">
      <w:pPr>
        <w:pStyle w:val="Bullet-1"/>
        <w:tabs>
          <w:tab w:val="clear" w:pos="576"/>
        </w:tabs>
        <w:ind w:left="900" w:hanging="180"/>
      </w:pPr>
      <w:r w:rsidRPr="00B71D90">
        <w:t>Data entry processor</w:t>
      </w:r>
      <w:r w:rsidR="007B7CBB" w:rsidRPr="00B71D90">
        <w:t xml:space="preserve">s </w:t>
      </w:r>
      <w:r w:rsidRPr="00B71D90">
        <w:t>enter</w:t>
      </w:r>
      <w:r w:rsidR="007B7CBB" w:rsidRPr="00B71D90">
        <w:t xml:space="preserve"> all</w:t>
      </w:r>
      <w:r w:rsidR="00333384" w:rsidRPr="00B71D90">
        <w:t xml:space="preserve"> </w:t>
      </w:r>
      <w:r w:rsidR="00F65AB5" w:rsidRPr="00B71D90">
        <w:t>c</w:t>
      </w:r>
      <w:r w:rsidR="007B7CBB" w:rsidRPr="00B71D90">
        <w:t>odes</w:t>
      </w:r>
      <w:r w:rsidR="00333384" w:rsidRPr="00B71D90">
        <w:t xml:space="preserve"> and </w:t>
      </w:r>
      <w:r w:rsidR="00F65AB5" w:rsidRPr="00B71D90">
        <w:t>c</w:t>
      </w:r>
      <w:r w:rsidR="007B7CBB" w:rsidRPr="00B71D90">
        <w:t>haracters</w:t>
      </w:r>
      <w:r w:rsidR="00070DE8">
        <w:t>.</w:t>
      </w:r>
      <w:r w:rsidR="007B7CBB" w:rsidRPr="00B71D90">
        <w:t xml:space="preserve"> </w:t>
      </w:r>
    </w:p>
    <w:p w:rsidR="007B7CBB" w:rsidRPr="00B71D90" w:rsidRDefault="007B7CBB" w:rsidP="00FC3264">
      <w:pPr>
        <w:pStyle w:val="Bullet-1"/>
        <w:tabs>
          <w:tab w:val="clear" w:pos="576"/>
        </w:tabs>
        <w:ind w:left="900" w:hanging="180"/>
      </w:pPr>
      <w:r w:rsidRPr="00B71D90">
        <w:t xml:space="preserve">Policy and procedure manuals </w:t>
      </w:r>
      <w:r w:rsidR="00333384" w:rsidRPr="00B71D90">
        <w:t xml:space="preserve">document that </w:t>
      </w:r>
      <w:r w:rsidRPr="00B71D90">
        <w:t xml:space="preserve">codes </w:t>
      </w:r>
      <w:r w:rsidR="00631E8D" w:rsidRPr="00B71D90">
        <w:t>can</w:t>
      </w:r>
      <w:r w:rsidR="00333384" w:rsidRPr="00B71D90">
        <w:t xml:space="preserve">not be </w:t>
      </w:r>
      <w:r w:rsidRPr="00B71D90">
        <w:t xml:space="preserve">altered or deleted and </w:t>
      </w:r>
      <w:r w:rsidR="00333384" w:rsidRPr="00B71D90">
        <w:t xml:space="preserve">that </w:t>
      </w:r>
      <w:r w:rsidR="00631E8D" w:rsidRPr="00B71D90">
        <w:t>default codes are not used</w:t>
      </w:r>
      <w:r w:rsidRPr="00B71D90">
        <w:t xml:space="preserve"> or are mapped correctly</w:t>
      </w:r>
      <w:r w:rsidR="00070DE8">
        <w:t>.</w:t>
      </w:r>
    </w:p>
    <w:p w:rsidR="007B7CBB" w:rsidRPr="00B71D90" w:rsidRDefault="007B7CBB" w:rsidP="00A46F0D">
      <w:pPr>
        <w:pStyle w:val="StdText"/>
        <w:ind w:left="720" w:hanging="720"/>
      </w:pPr>
      <w:r w:rsidRPr="00B71D90">
        <w:t>IS 1.2</w:t>
      </w:r>
      <w:r w:rsidRPr="00B71D90">
        <w:tab/>
        <w:t xml:space="preserve">Principal codes are identified and secondary codes are captured. </w:t>
      </w:r>
    </w:p>
    <w:p w:rsidR="007B7CBB" w:rsidRPr="00B71D90" w:rsidRDefault="00282749" w:rsidP="00FC3264">
      <w:pPr>
        <w:pStyle w:val="Bullet-1"/>
        <w:tabs>
          <w:tab w:val="clear" w:pos="576"/>
        </w:tabs>
        <w:ind w:left="900" w:hanging="180"/>
      </w:pPr>
      <w:r w:rsidRPr="00B71D90">
        <w:t>D</w:t>
      </w:r>
      <w:r w:rsidR="007B7CBB" w:rsidRPr="00B71D90">
        <w:t>ata submission documents</w:t>
      </w:r>
      <w:r w:rsidRPr="00B71D90">
        <w:t xml:space="preserve"> and </w:t>
      </w:r>
      <w:r w:rsidR="00333384" w:rsidRPr="00B71D90">
        <w:t xml:space="preserve">transaction </w:t>
      </w:r>
      <w:r w:rsidRPr="00B71D90">
        <w:t xml:space="preserve">files </w:t>
      </w:r>
      <w:r w:rsidR="007B7CBB" w:rsidRPr="00B71D90">
        <w:t xml:space="preserve">differentiate principal </w:t>
      </w:r>
      <w:r w:rsidR="00710445" w:rsidRPr="00B71D90">
        <w:t xml:space="preserve">codes </w:t>
      </w:r>
      <w:r w:rsidR="00631E8D" w:rsidRPr="00B71D90">
        <w:t xml:space="preserve">from </w:t>
      </w:r>
      <w:r w:rsidR="007B7CBB" w:rsidRPr="00B71D90">
        <w:t>secondary codes</w:t>
      </w:r>
      <w:r w:rsidR="00070DE8">
        <w:t>.</w:t>
      </w:r>
    </w:p>
    <w:p w:rsidR="007B7CBB" w:rsidRPr="00B71D90" w:rsidRDefault="006A039A" w:rsidP="00FC3264">
      <w:pPr>
        <w:pStyle w:val="Bullet-1"/>
        <w:tabs>
          <w:tab w:val="clear" w:pos="576"/>
        </w:tabs>
        <w:ind w:left="900" w:hanging="180"/>
      </w:pPr>
      <w:r w:rsidRPr="00B71D90">
        <w:t xml:space="preserve">Claims and </w:t>
      </w:r>
      <w:r w:rsidR="007B7CBB" w:rsidRPr="00B71D90">
        <w:t xml:space="preserve">encounter data entry screens </w:t>
      </w:r>
      <w:r w:rsidR="00631E8D" w:rsidRPr="00B71D90">
        <w:t>allow</w:t>
      </w:r>
      <w:r w:rsidR="007C23C3" w:rsidRPr="00B71D90">
        <w:t xml:space="preserve"> entry of</w:t>
      </w:r>
      <w:r w:rsidR="00631E8D" w:rsidRPr="00B71D90">
        <w:t xml:space="preserve"> </w:t>
      </w:r>
      <w:r w:rsidR="007B7CBB" w:rsidRPr="00B71D90">
        <w:t>all principal and secondary codes</w:t>
      </w:r>
      <w:r w:rsidR="00070DE8">
        <w:t>.</w:t>
      </w:r>
      <w:r w:rsidR="007B7CBB" w:rsidRPr="00B71D90">
        <w:t xml:space="preserve"> </w:t>
      </w:r>
    </w:p>
    <w:p w:rsidR="00631E8D" w:rsidRPr="00B71D90" w:rsidRDefault="00631E8D" w:rsidP="00FC3264">
      <w:pPr>
        <w:pStyle w:val="Bullet-1"/>
        <w:tabs>
          <w:tab w:val="clear" w:pos="576"/>
        </w:tabs>
        <w:ind w:left="900" w:hanging="180"/>
      </w:pPr>
      <w:r w:rsidRPr="00B71D90">
        <w:t>Data entry processors enter all principal and secondary codes accurately</w:t>
      </w:r>
      <w:r w:rsidR="00070DE8">
        <w:t>.</w:t>
      </w:r>
    </w:p>
    <w:p w:rsidR="007B7CBB" w:rsidRPr="00B71D90" w:rsidRDefault="007B7CBB" w:rsidP="00A46F0D">
      <w:pPr>
        <w:pStyle w:val="StdText"/>
        <w:ind w:left="720" w:hanging="720"/>
      </w:pPr>
      <w:r w:rsidRPr="00B71D90">
        <w:t>IS 1.3</w:t>
      </w:r>
      <w:r w:rsidR="00A46F0D" w:rsidRPr="00B71D90">
        <w:tab/>
      </w:r>
      <w:r w:rsidRPr="00B71D90">
        <w:t>Nonstandard coding schemes are fully documented and mapped back to industry standard codes.</w:t>
      </w:r>
    </w:p>
    <w:p w:rsidR="007B7CBB" w:rsidRPr="00B71D90" w:rsidRDefault="007B7CBB" w:rsidP="00FC3264">
      <w:pPr>
        <w:pStyle w:val="Bullet-1"/>
        <w:tabs>
          <w:tab w:val="clear" w:pos="576"/>
        </w:tabs>
        <w:ind w:left="900" w:hanging="180"/>
      </w:pPr>
      <w:r w:rsidRPr="00B71D90">
        <w:t xml:space="preserve">Mapping documents </w:t>
      </w:r>
      <w:r w:rsidR="00631E8D" w:rsidRPr="00B71D90">
        <w:t xml:space="preserve">show </w:t>
      </w:r>
      <w:r w:rsidR="007C23C3" w:rsidRPr="00B71D90">
        <w:t xml:space="preserve">that </w:t>
      </w:r>
      <w:r w:rsidRPr="00B71D90">
        <w:t>a</w:t>
      </w:r>
      <w:r w:rsidR="00631E8D" w:rsidRPr="00B71D90">
        <w:t>ll nonstandard codes and code</w:t>
      </w:r>
      <w:r w:rsidRPr="00B71D90">
        <w:t xml:space="preserve"> systems are identified </w:t>
      </w:r>
      <w:r w:rsidR="00A852A7" w:rsidRPr="00B71D90">
        <w:t xml:space="preserve">and mapped according to </w:t>
      </w:r>
      <w:r w:rsidR="00CF518A" w:rsidRPr="00B71D90">
        <w:t xml:space="preserve">the </w:t>
      </w:r>
      <w:r w:rsidRPr="00B71D90">
        <w:t xml:space="preserve">requirements in </w:t>
      </w:r>
      <w:r w:rsidR="00710445" w:rsidRPr="00B71D90">
        <w:t xml:space="preserve">the </w:t>
      </w:r>
      <w:r w:rsidR="00C25849" w:rsidRPr="00B71D90">
        <w:t>sp</w:t>
      </w:r>
      <w:r w:rsidR="00F55183" w:rsidRPr="00B71D90">
        <w:t>e</w:t>
      </w:r>
      <w:r w:rsidR="00C25849" w:rsidRPr="00B71D90">
        <w:t>cifications</w:t>
      </w:r>
      <w:r w:rsidR="00070DE8">
        <w:t>.</w:t>
      </w:r>
      <w:r w:rsidR="00631E8D" w:rsidRPr="00B71D90">
        <w:t xml:space="preserve"> </w:t>
      </w:r>
    </w:p>
    <w:p w:rsidR="007B7CBB" w:rsidRPr="00B71D90" w:rsidRDefault="009B665E" w:rsidP="00FC3264">
      <w:pPr>
        <w:pStyle w:val="Bullet-1"/>
        <w:tabs>
          <w:tab w:val="clear" w:pos="576"/>
        </w:tabs>
        <w:ind w:left="900" w:hanging="180"/>
      </w:pPr>
      <w:r w:rsidRPr="00B71D90">
        <w:t>Program c</w:t>
      </w:r>
      <w:r w:rsidR="007B7CBB" w:rsidRPr="00B71D90">
        <w:t>ode ensure</w:t>
      </w:r>
      <w:r w:rsidR="00A852A7" w:rsidRPr="00B71D90">
        <w:t>s that</w:t>
      </w:r>
      <w:r w:rsidR="007B7CBB" w:rsidRPr="00B71D90">
        <w:t xml:space="preserve"> mapping documents are executed</w:t>
      </w:r>
      <w:r w:rsidR="00A852A7" w:rsidRPr="00B71D90">
        <w:t xml:space="preserve"> accurately</w:t>
      </w:r>
      <w:r w:rsidR="00070DE8">
        <w:t>.</w:t>
      </w:r>
    </w:p>
    <w:p w:rsidR="007B7CBB" w:rsidRPr="00B71D90" w:rsidRDefault="007B7CBB" w:rsidP="007C23C3">
      <w:pPr>
        <w:pStyle w:val="StdText"/>
        <w:ind w:left="720" w:hanging="720"/>
      </w:pPr>
      <w:r w:rsidRPr="00B71D90">
        <w:t>IS 1.4</w:t>
      </w:r>
      <w:r w:rsidRPr="00B71D90">
        <w:tab/>
        <w:t xml:space="preserve">Standard submission forms are used and capture all fields relevant to </w:t>
      </w:r>
      <w:r w:rsidR="00981F87" w:rsidRPr="00B71D90">
        <w:t xml:space="preserve">measure </w:t>
      </w:r>
      <w:r w:rsidRPr="00B71D90">
        <w:t>reporting</w:t>
      </w:r>
      <w:r w:rsidR="00A852A7" w:rsidRPr="00B71D90">
        <w:t>.</w:t>
      </w:r>
      <w:r w:rsidRPr="00B71D90">
        <w:t xml:space="preserve"> </w:t>
      </w:r>
      <w:r w:rsidR="00A852A7" w:rsidRPr="00B71D90">
        <w:t>A</w:t>
      </w:r>
      <w:r w:rsidRPr="00B71D90">
        <w:t>ll proprietary forms capture equivalent data.</w:t>
      </w:r>
      <w:r w:rsidR="007E41A2" w:rsidRPr="00B71D90">
        <w:t xml:space="preserve"> </w:t>
      </w:r>
      <w:r w:rsidRPr="00B71D90">
        <w:t>Electronic transmission procedure</w:t>
      </w:r>
      <w:r w:rsidR="00126A7B" w:rsidRPr="00B71D90">
        <w:t>s conform to industry standards.</w:t>
      </w:r>
    </w:p>
    <w:p w:rsidR="007B7CBB" w:rsidRPr="00B71D90" w:rsidRDefault="00A852A7" w:rsidP="004263B7">
      <w:pPr>
        <w:pStyle w:val="Bullet-1"/>
      </w:pPr>
      <w:r w:rsidRPr="00B71D90">
        <w:t>Standard and nonstandard f</w:t>
      </w:r>
      <w:r w:rsidR="007B7CBB" w:rsidRPr="00B71D90">
        <w:t>orms</w:t>
      </w:r>
      <w:r w:rsidRPr="00B71D90">
        <w:t xml:space="preserve"> have </w:t>
      </w:r>
      <w:r w:rsidR="007B7CBB" w:rsidRPr="00B71D90">
        <w:t xml:space="preserve">policies, procedures and </w:t>
      </w:r>
      <w:r w:rsidR="00A154A7" w:rsidRPr="00B71D90">
        <w:t xml:space="preserve">completion </w:t>
      </w:r>
      <w:r w:rsidR="007B7CBB" w:rsidRPr="00B71D90">
        <w:t xml:space="preserve">instructions to verify </w:t>
      </w:r>
      <w:r w:rsidRPr="00B71D90">
        <w:t xml:space="preserve">that </w:t>
      </w:r>
      <w:r w:rsidR="007B7CBB" w:rsidRPr="00B71D90">
        <w:t>all fields relevant to reporting are included</w:t>
      </w:r>
      <w:r w:rsidR="00070DE8">
        <w:t>.</w:t>
      </w:r>
      <w:r w:rsidR="007B7CBB" w:rsidRPr="00B71D90">
        <w:t xml:space="preserve"> </w:t>
      </w:r>
    </w:p>
    <w:p w:rsidR="007B7CBB" w:rsidRPr="00B71D90" w:rsidRDefault="007B7CBB" w:rsidP="004263B7">
      <w:pPr>
        <w:pStyle w:val="Bullet-1"/>
      </w:pPr>
      <w:r w:rsidRPr="00B71D90">
        <w:t xml:space="preserve">Nonstandard submission forms include </w:t>
      </w:r>
      <w:r w:rsidR="00A852A7" w:rsidRPr="00B71D90">
        <w:t>required</w:t>
      </w:r>
      <w:r w:rsidRPr="00B71D90">
        <w:t xml:space="preserve"> data and </w:t>
      </w:r>
      <w:r w:rsidR="00F13F91" w:rsidRPr="00B71D90">
        <w:t xml:space="preserve">capture </w:t>
      </w:r>
      <w:r w:rsidRPr="00B71D90">
        <w:t>all:</w:t>
      </w:r>
    </w:p>
    <w:p w:rsidR="007B7CBB" w:rsidRPr="00B71D90" w:rsidRDefault="00710445" w:rsidP="00710445">
      <w:pPr>
        <w:pStyle w:val="Dash"/>
        <w:ind w:left="1152"/>
      </w:pPr>
      <w:r w:rsidRPr="00B71D90">
        <w:t>C</w:t>
      </w:r>
      <w:r w:rsidR="007B7CBB" w:rsidRPr="00B71D90">
        <w:t>odes</w:t>
      </w:r>
      <w:r w:rsidR="00B8167D">
        <w:t>.</w:t>
      </w:r>
    </w:p>
    <w:p w:rsidR="007B7CBB" w:rsidRPr="00B71D90" w:rsidRDefault="00710445" w:rsidP="00710445">
      <w:pPr>
        <w:pStyle w:val="Dash"/>
        <w:ind w:left="1152"/>
      </w:pPr>
      <w:r w:rsidRPr="00B71D90">
        <w:t>C</w:t>
      </w:r>
      <w:r w:rsidR="007B7CBB" w:rsidRPr="00B71D90">
        <w:t>haracters for all codes</w:t>
      </w:r>
      <w:r w:rsidR="00B8167D">
        <w:t>.</w:t>
      </w:r>
    </w:p>
    <w:p w:rsidR="007B7CBB" w:rsidRPr="00B71D90" w:rsidRDefault="00710445" w:rsidP="00710445">
      <w:pPr>
        <w:pStyle w:val="Dash"/>
        <w:ind w:left="1152"/>
      </w:pPr>
      <w:r w:rsidRPr="00B71D90">
        <w:t>D</w:t>
      </w:r>
      <w:r w:rsidR="007B7CBB" w:rsidRPr="00B71D90">
        <w:t>ata fields listed in the R</w:t>
      </w:r>
      <w:r w:rsidR="00CF518A" w:rsidRPr="00B71D90">
        <w:t>oadmap</w:t>
      </w:r>
      <w:r w:rsidR="007B7CBB" w:rsidRPr="00B71D90">
        <w:t xml:space="preserve"> for the appropriate claims system</w:t>
      </w:r>
      <w:r w:rsidR="00070DE8">
        <w:t>.</w:t>
      </w:r>
    </w:p>
    <w:p w:rsidR="007B7CBB" w:rsidRPr="00B71D90" w:rsidRDefault="00126A7B" w:rsidP="004263B7">
      <w:pPr>
        <w:pStyle w:val="Bullet-1"/>
      </w:pPr>
      <w:r w:rsidRPr="00B71D90">
        <w:t xml:space="preserve">Electronic file </w:t>
      </w:r>
      <w:r w:rsidR="007B7CBB" w:rsidRPr="00B71D90">
        <w:t xml:space="preserve">formats </w:t>
      </w:r>
      <w:r w:rsidRPr="00B71D90">
        <w:t>are consistent with industry standard forms and</w:t>
      </w:r>
      <w:r w:rsidR="00F04991" w:rsidRPr="00B71D90">
        <w:t xml:space="preserve"> </w:t>
      </w:r>
      <w:r w:rsidR="007B7CBB" w:rsidRPr="00B71D90">
        <w:t>capture all data fields listed in the Roadmap fo</w:t>
      </w:r>
      <w:r w:rsidR="00305935" w:rsidRPr="00B71D90">
        <w:t>r the appropriate claims system</w:t>
      </w:r>
      <w:r w:rsidR="00070DE8">
        <w:t>.</w:t>
      </w:r>
    </w:p>
    <w:p w:rsidR="007B7CBB" w:rsidRPr="00B71D90" w:rsidRDefault="007B7CBB" w:rsidP="004263B7">
      <w:pPr>
        <w:pStyle w:val="Bullet-1"/>
      </w:pPr>
      <w:r w:rsidRPr="00B71D90">
        <w:t xml:space="preserve">Policies and procedures for </w:t>
      </w:r>
      <w:r w:rsidR="00126A7B" w:rsidRPr="00B71D90">
        <w:t xml:space="preserve">submitting </w:t>
      </w:r>
      <w:r w:rsidRPr="00B71D90">
        <w:t xml:space="preserve">information </w:t>
      </w:r>
      <w:r w:rsidR="00126A7B" w:rsidRPr="00B71D90">
        <w:t xml:space="preserve">on electronic forms </w:t>
      </w:r>
      <w:r w:rsidRPr="00B71D90">
        <w:t>verify</w:t>
      </w:r>
      <w:r w:rsidR="00710445" w:rsidRPr="00B71D90">
        <w:t>:</w:t>
      </w:r>
    </w:p>
    <w:p w:rsidR="007B7CBB" w:rsidRPr="00B71D90" w:rsidRDefault="00710445" w:rsidP="00710445">
      <w:pPr>
        <w:pStyle w:val="Dash"/>
        <w:ind w:left="1152"/>
      </w:pPr>
      <w:r w:rsidRPr="00B71D90">
        <w:t>The organization effectively monitors the quality and accuracy of electronic submissions</w:t>
      </w:r>
      <w:r w:rsidR="00B8167D">
        <w:t>.</w:t>
      </w:r>
    </w:p>
    <w:p w:rsidR="00710445" w:rsidRPr="00B71D90" w:rsidRDefault="00710445" w:rsidP="00710445">
      <w:pPr>
        <w:pStyle w:val="Dash"/>
        <w:ind w:left="1152"/>
      </w:pPr>
      <w:r w:rsidRPr="00B71D90">
        <w:t>Tr</w:t>
      </w:r>
      <w:r w:rsidR="007B7CBB" w:rsidRPr="00B71D90">
        <w:t>ansmissions are properly controlled by logs, record count verification, redundancy</w:t>
      </w:r>
      <w:r w:rsidR="00126A7B" w:rsidRPr="00B71D90">
        <w:t xml:space="preserve"> </w:t>
      </w:r>
      <w:r w:rsidR="007B7CBB" w:rsidRPr="00B71D90">
        <w:t>checking receipts</w:t>
      </w:r>
      <w:r w:rsidRPr="00B71D90">
        <w:t>, retransmissions and sign-offs</w:t>
      </w:r>
      <w:r w:rsidR="00286A96">
        <w:t>.</w:t>
      </w:r>
    </w:p>
    <w:p w:rsidR="006F5607" w:rsidRPr="00B71D90" w:rsidRDefault="006F5607" w:rsidP="006F5607">
      <w:pPr>
        <w:pStyle w:val="TableText"/>
        <w:spacing w:before="0" w:after="0"/>
        <w:ind w:left="274" w:hanging="274"/>
        <w:rPr>
          <w:rFonts w:ascii="Arial" w:hAnsi="Arial" w:cs="Arial"/>
          <w:sz w:val="18"/>
          <w:szCs w:val="18"/>
        </w:rPr>
      </w:pPr>
    </w:p>
    <w:p w:rsidR="006F5607" w:rsidRPr="00B71D90" w:rsidRDefault="006F5607" w:rsidP="006F5607">
      <w:pPr>
        <w:pStyle w:val="TableText"/>
        <w:spacing w:before="0" w:after="0"/>
        <w:ind w:left="274" w:hanging="274"/>
        <w:rPr>
          <w:rFonts w:ascii="Arial" w:hAnsi="Arial" w:cs="Arial"/>
          <w:sz w:val="18"/>
          <w:szCs w:val="18"/>
        </w:rPr>
      </w:pPr>
    </w:p>
    <w:p w:rsidR="006F5607" w:rsidRPr="00B71D90" w:rsidRDefault="006F5607" w:rsidP="006F5607">
      <w:pPr>
        <w:pStyle w:val="TableText"/>
        <w:spacing w:before="0" w:after="0"/>
        <w:ind w:left="274" w:hanging="274"/>
        <w:rPr>
          <w:rFonts w:ascii="Arial" w:hAnsi="Arial" w:cs="Arial"/>
          <w:sz w:val="18"/>
          <w:szCs w:val="18"/>
        </w:rPr>
      </w:pPr>
    </w:p>
    <w:p w:rsidR="007C23C3" w:rsidRPr="00B71D90" w:rsidRDefault="007C23C3" w:rsidP="006F5607">
      <w:pPr>
        <w:pStyle w:val="TableText"/>
        <w:spacing w:before="0" w:after="0"/>
        <w:ind w:left="274" w:hanging="274"/>
        <w:rPr>
          <w:rFonts w:ascii="Arial" w:hAnsi="Arial" w:cs="Arial"/>
          <w:sz w:val="18"/>
          <w:szCs w:val="18"/>
        </w:rPr>
      </w:pPr>
    </w:p>
    <w:p w:rsidR="007C23C3" w:rsidRPr="00B71D90" w:rsidRDefault="007C23C3" w:rsidP="006F5607">
      <w:pPr>
        <w:pStyle w:val="TableText"/>
        <w:spacing w:before="0" w:after="0"/>
        <w:ind w:left="274" w:hanging="274"/>
        <w:rPr>
          <w:rFonts w:ascii="Arial" w:hAnsi="Arial" w:cs="Arial"/>
          <w:sz w:val="18"/>
          <w:szCs w:val="18"/>
        </w:rPr>
      </w:pPr>
    </w:p>
    <w:p w:rsidR="006F5607" w:rsidRPr="00B71D90" w:rsidRDefault="006F5607" w:rsidP="006F5607">
      <w:pPr>
        <w:pStyle w:val="TableText"/>
        <w:spacing w:before="0" w:after="0"/>
        <w:ind w:left="274" w:hanging="274"/>
        <w:rPr>
          <w:rFonts w:ascii="Arial" w:hAnsi="Arial" w:cs="Arial"/>
          <w:sz w:val="18"/>
          <w:szCs w:val="18"/>
        </w:rPr>
      </w:pPr>
    </w:p>
    <w:p w:rsidR="006F5607" w:rsidRPr="00B71D90" w:rsidRDefault="006F5607" w:rsidP="006F5607">
      <w:pPr>
        <w:pStyle w:val="TableText"/>
        <w:spacing w:before="0" w:after="0"/>
        <w:ind w:left="274" w:hanging="274"/>
        <w:rPr>
          <w:rFonts w:ascii="Arial" w:hAnsi="Arial" w:cs="Arial"/>
          <w:sz w:val="18"/>
          <w:szCs w:val="18"/>
        </w:rPr>
      </w:pPr>
      <w:r w:rsidRPr="00B71D90">
        <w:rPr>
          <w:rFonts w:ascii="Arial" w:hAnsi="Arial" w:cs="Arial"/>
          <w:sz w:val="18"/>
          <w:szCs w:val="18"/>
        </w:rPr>
        <w:t>_____________</w:t>
      </w:r>
    </w:p>
    <w:p w:rsidR="006F5607" w:rsidRPr="00B71D90" w:rsidRDefault="006F5607" w:rsidP="006F5607">
      <w:pPr>
        <w:pStyle w:val="Body"/>
        <w:spacing w:before="120"/>
        <w:rPr>
          <w:sz w:val="18"/>
          <w:szCs w:val="18"/>
        </w:rPr>
      </w:pPr>
      <w:r w:rsidRPr="00B71D90">
        <w:rPr>
          <w:sz w:val="18"/>
          <w:szCs w:val="18"/>
        </w:rPr>
        <w:t>Current Procedural Terminology © 20</w:t>
      </w:r>
      <w:r w:rsidR="00C9552A" w:rsidRPr="00B71D90">
        <w:rPr>
          <w:sz w:val="18"/>
          <w:szCs w:val="18"/>
        </w:rPr>
        <w:t>1</w:t>
      </w:r>
      <w:r w:rsidR="00DE5F3A">
        <w:rPr>
          <w:sz w:val="18"/>
          <w:szCs w:val="18"/>
        </w:rPr>
        <w:t>2</w:t>
      </w:r>
      <w:r w:rsidRPr="00B71D90">
        <w:rPr>
          <w:sz w:val="18"/>
          <w:szCs w:val="18"/>
        </w:rPr>
        <w:t xml:space="preserve"> American Medical Association. All rights reserved.</w:t>
      </w:r>
    </w:p>
    <w:p w:rsidR="007B7CBB" w:rsidRPr="00B71D90" w:rsidRDefault="007B7CBB" w:rsidP="00710445">
      <w:pPr>
        <w:pStyle w:val="StdText"/>
        <w:spacing w:before="0"/>
        <w:ind w:left="720" w:hanging="720"/>
      </w:pPr>
      <w:r w:rsidRPr="00B71D90">
        <w:lastRenderedPageBreak/>
        <w:t>IS 1.5</w:t>
      </w:r>
      <w:r w:rsidRPr="00B71D90">
        <w:tab/>
        <w:t>Data entry processes are</w:t>
      </w:r>
      <w:r w:rsidR="009B665E" w:rsidRPr="00B71D90">
        <w:t xml:space="preserve"> </w:t>
      </w:r>
      <w:r w:rsidR="00CA5802" w:rsidRPr="00B71D90">
        <w:t xml:space="preserve">timely </w:t>
      </w:r>
      <w:r w:rsidR="004A20B9" w:rsidRPr="00B71D90">
        <w:t>and</w:t>
      </w:r>
      <w:r w:rsidRPr="00B71D90">
        <w:t xml:space="preserve"> accurate and include sufficient edit checks to ensure accurate entry of submitted data in transaction files for </w:t>
      </w:r>
      <w:r w:rsidR="00981F87" w:rsidRPr="00B71D90">
        <w:t xml:space="preserve">measure </w:t>
      </w:r>
      <w:r w:rsidRPr="00B71D90">
        <w:t>reporting.</w:t>
      </w:r>
    </w:p>
    <w:p w:rsidR="007B7CBB" w:rsidRPr="00B71D90" w:rsidRDefault="008B58A8" w:rsidP="002F0935">
      <w:pPr>
        <w:pStyle w:val="Bullet-1"/>
      </w:pPr>
      <w:r w:rsidRPr="00B71D90">
        <w:t xml:space="preserve">Claims and </w:t>
      </w:r>
      <w:r w:rsidR="007B7CBB" w:rsidRPr="00B71D90">
        <w:t>encounter data entry screens</w:t>
      </w:r>
      <w:r w:rsidRPr="00B71D90">
        <w:t xml:space="preserve"> </w:t>
      </w:r>
      <w:r w:rsidR="000201C7" w:rsidRPr="00B71D90">
        <w:t>display</w:t>
      </w:r>
      <w:r w:rsidRPr="00B71D90">
        <w:t>:</w:t>
      </w:r>
      <w:r w:rsidR="007B7CBB" w:rsidRPr="00B71D90">
        <w:t xml:space="preserve"> </w:t>
      </w:r>
    </w:p>
    <w:p w:rsidR="008B58A8" w:rsidRPr="00B71D90" w:rsidRDefault="00710445" w:rsidP="00710445">
      <w:pPr>
        <w:pStyle w:val="Dash"/>
        <w:ind w:left="1152"/>
      </w:pPr>
      <w:r w:rsidRPr="00B71D90">
        <w:t>Edit checks</w:t>
      </w:r>
      <w:r w:rsidR="007E41A2" w:rsidRPr="00B71D90">
        <w:t xml:space="preserve"> </w:t>
      </w:r>
      <w:r w:rsidR="008B58A8" w:rsidRPr="00B71D90">
        <w:t xml:space="preserve">for </w:t>
      </w:r>
      <w:r w:rsidR="007B7CBB" w:rsidRPr="00B71D90">
        <w:t>parity</w:t>
      </w:r>
      <w:r w:rsidR="008B58A8" w:rsidRPr="00B71D90">
        <w:t>, field sizes, date ranges, code ranges</w:t>
      </w:r>
      <w:r w:rsidR="00B8167D">
        <w:t>.</w:t>
      </w:r>
    </w:p>
    <w:p w:rsidR="007B7CBB" w:rsidRPr="00B71D90" w:rsidRDefault="00710445" w:rsidP="00710445">
      <w:pPr>
        <w:pStyle w:val="Dash"/>
        <w:ind w:left="1152"/>
      </w:pPr>
      <w:r w:rsidRPr="00B71D90">
        <w:t>Cross</w:t>
      </w:r>
      <w:r w:rsidR="007B7CBB" w:rsidRPr="00B71D90">
        <w:t xml:space="preserve"> checks with member and practitioner file</w:t>
      </w:r>
      <w:r w:rsidR="00546F92" w:rsidRPr="00B71D90">
        <w:t>s</w:t>
      </w:r>
      <w:r w:rsidR="00B8167D">
        <w:t>.</w:t>
      </w:r>
    </w:p>
    <w:p w:rsidR="007B7CBB" w:rsidRPr="00B71D90" w:rsidRDefault="00710445" w:rsidP="00710445">
      <w:pPr>
        <w:pStyle w:val="Dash"/>
        <w:ind w:left="1152"/>
        <w:rPr>
          <w:szCs w:val="20"/>
        </w:rPr>
      </w:pPr>
      <w:r w:rsidRPr="00B71D90">
        <w:rPr>
          <w:szCs w:val="20"/>
        </w:rPr>
        <w:t>A</w:t>
      </w:r>
      <w:r w:rsidR="007B7CBB" w:rsidRPr="00B71D90">
        <w:rPr>
          <w:szCs w:val="20"/>
        </w:rPr>
        <w:t>ll data fields listed in the appropriate claims section of the R</w:t>
      </w:r>
      <w:r w:rsidR="003F39F0" w:rsidRPr="00B71D90">
        <w:rPr>
          <w:szCs w:val="20"/>
        </w:rPr>
        <w:t>oadmap</w:t>
      </w:r>
      <w:r w:rsidR="00070DE8">
        <w:rPr>
          <w:szCs w:val="20"/>
        </w:rPr>
        <w:t>.</w:t>
      </w:r>
    </w:p>
    <w:p w:rsidR="007B7CBB" w:rsidRPr="00B71D90" w:rsidRDefault="004A20B9" w:rsidP="002F0935">
      <w:pPr>
        <w:pStyle w:val="Bullet-1"/>
      </w:pPr>
      <w:r w:rsidRPr="00B71D90">
        <w:t>R</w:t>
      </w:r>
      <w:r w:rsidR="007B7CBB" w:rsidRPr="00B71D90">
        <w:t>eports for claim</w:t>
      </w:r>
      <w:r w:rsidRPr="00B71D90">
        <w:t>/</w:t>
      </w:r>
      <w:r w:rsidR="007B7CBB" w:rsidRPr="00B71D90">
        <w:t xml:space="preserve">encounter </w:t>
      </w:r>
      <w:r w:rsidR="00546F92" w:rsidRPr="00B71D90">
        <w:t xml:space="preserve">processing staff and hardware operations verify that </w:t>
      </w:r>
      <w:r w:rsidR="007B7CBB" w:rsidRPr="00B71D90">
        <w:t xml:space="preserve">the organization effectively monitors the quality, accuracy, timeliness and productivity of </w:t>
      </w:r>
      <w:r w:rsidR="00546F92" w:rsidRPr="00B71D90">
        <w:t xml:space="preserve">the </w:t>
      </w:r>
      <w:r w:rsidR="007B7CBB" w:rsidRPr="00B71D90">
        <w:t>entry processes</w:t>
      </w:r>
      <w:r w:rsidR="00B46BBB" w:rsidRPr="00B71D90">
        <w:t xml:space="preserve"> (r</w:t>
      </w:r>
      <w:r w:rsidR="00710445" w:rsidRPr="00B71D90">
        <w:t xml:space="preserve">efer to </w:t>
      </w:r>
      <w:r w:rsidR="007B7CBB" w:rsidRPr="00B71D90">
        <w:t>R</w:t>
      </w:r>
      <w:r w:rsidR="003F39F0" w:rsidRPr="00B71D90">
        <w:t>oadmap</w:t>
      </w:r>
      <w:r w:rsidR="007B7CBB" w:rsidRPr="00B71D90">
        <w:t xml:space="preserve"> </w:t>
      </w:r>
      <w:r w:rsidR="00710445" w:rsidRPr="00B71D90">
        <w:t>A</w:t>
      </w:r>
      <w:r w:rsidR="007B7CBB" w:rsidRPr="00B71D90">
        <w:t>ttachment 1.4</w:t>
      </w:r>
      <w:r w:rsidR="00B46BBB" w:rsidRPr="00B71D90">
        <w:t>)</w:t>
      </w:r>
      <w:r w:rsidR="00070DE8">
        <w:t>.</w:t>
      </w:r>
    </w:p>
    <w:p w:rsidR="007B7CBB" w:rsidRPr="00B71D90" w:rsidRDefault="00546F92" w:rsidP="002F0935">
      <w:pPr>
        <w:pStyle w:val="Bullet-1"/>
      </w:pPr>
      <w:r w:rsidRPr="00B71D90">
        <w:t xml:space="preserve">Flowcharts clearly describe claim and </w:t>
      </w:r>
      <w:r w:rsidR="007B7CBB" w:rsidRPr="00B71D90">
        <w:t>encounter processing from all sources (</w:t>
      </w:r>
      <w:r w:rsidR="00B46BBB" w:rsidRPr="00B71D90">
        <w:t xml:space="preserve">refer to </w:t>
      </w:r>
      <w:r w:rsidR="007B7CBB" w:rsidRPr="00B71D90">
        <w:t>R</w:t>
      </w:r>
      <w:r w:rsidR="00F42F22" w:rsidRPr="00B71D90">
        <w:t>oadmap</w:t>
      </w:r>
      <w:r w:rsidR="007B7CBB" w:rsidRPr="00B71D90">
        <w:t xml:space="preserve"> </w:t>
      </w:r>
      <w:r w:rsidR="00571C1E" w:rsidRPr="00B71D90">
        <w:t>A</w:t>
      </w:r>
      <w:r w:rsidR="007B7CBB" w:rsidRPr="00B71D90">
        <w:t>ttachment 1.1)</w:t>
      </w:r>
      <w:r w:rsidR="00070DE8">
        <w:t>.</w:t>
      </w:r>
    </w:p>
    <w:p w:rsidR="007B7CBB" w:rsidRPr="00B71D90" w:rsidRDefault="007B7CBB" w:rsidP="002F0935">
      <w:pPr>
        <w:pStyle w:val="Bullet-1"/>
      </w:pPr>
      <w:r w:rsidRPr="00B71D90">
        <w:t>Policies and procedures and training manuals for data submission and entry ensure accuracy and completeness</w:t>
      </w:r>
      <w:r w:rsidR="00070DE8">
        <w:t>.</w:t>
      </w:r>
    </w:p>
    <w:p w:rsidR="007B7CBB" w:rsidRPr="00B71D90" w:rsidRDefault="007B7CBB" w:rsidP="002F0935">
      <w:pPr>
        <w:pStyle w:val="Bullet-1"/>
      </w:pPr>
      <w:r w:rsidRPr="00B71D90">
        <w:t xml:space="preserve">Data transaction files </w:t>
      </w:r>
      <w:r w:rsidR="00CD0EA1" w:rsidRPr="00B71D90">
        <w:t xml:space="preserve">confirm </w:t>
      </w:r>
      <w:r w:rsidRPr="00B71D90">
        <w:t>accuracy, including</w:t>
      </w:r>
      <w:r w:rsidR="00B46BBB" w:rsidRPr="00B71D90">
        <w:t>:</w:t>
      </w:r>
    </w:p>
    <w:p w:rsidR="000201C7" w:rsidRPr="00B71D90" w:rsidRDefault="004A20B9" w:rsidP="000201C7">
      <w:pPr>
        <w:pStyle w:val="Dash"/>
        <w:tabs>
          <w:tab w:val="clear" w:pos="792"/>
        </w:tabs>
        <w:ind w:left="1152"/>
      </w:pPr>
      <w:r w:rsidRPr="00B71D90">
        <w:t>C</w:t>
      </w:r>
      <w:r w:rsidR="000201C7" w:rsidRPr="00B71D90">
        <w:t>omparison of a sample of data</w:t>
      </w:r>
      <w:r w:rsidRPr="00B71D90">
        <w:t xml:space="preserve"> </w:t>
      </w:r>
      <w:r w:rsidR="000201C7" w:rsidRPr="00B71D90">
        <w:t>entry files with source documents to ensure that all data are entered and are not changed or deleted during processing</w:t>
      </w:r>
      <w:r w:rsidR="00B8167D">
        <w:t>.</w:t>
      </w:r>
    </w:p>
    <w:p w:rsidR="007B7CBB" w:rsidRPr="00B71D90" w:rsidRDefault="004A20B9" w:rsidP="00710445">
      <w:pPr>
        <w:pStyle w:val="Dash"/>
        <w:ind w:left="1152"/>
      </w:pPr>
      <w:r w:rsidRPr="00B71D90">
        <w:t>Capture of d</w:t>
      </w:r>
      <w:r w:rsidR="007B7CBB" w:rsidRPr="00B71D90">
        <w:t>enied claims for reporting</w:t>
      </w:r>
      <w:r w:rsidR="00F0788D" w:rsidRPr="00B71D90">
        <w:t>, i</w:t>
      </w:r>
      <w:r w:rsidR="002F0AA6" w:rsidRPr="00B71D90">
        <w:t>f applicable</w:t>
      </w:r>
      <w:r w:rsidR="00070DE8">
        <w:t>.</w:t>
      </w:r>
    </w:p>
    <w:p w:rsidR="007B7CBB" w:rsidRPr="00B71D90" w:rsidRDefault="007B7CBB" w:rsidP="00A46F0D">
      <w:pPr>
        <w:pStyle w:val="StdText"/>
        <w:ind w:left="720" w:hanging="720"/>
      </w:pPr>
      <w:r w:rsidRPr="00B71D90">
        <w:t>IS 1.6</w:t>
      </w:r>
      <w:r w:rsidRPr="00B71D90">
        <w:tab/>
        <w:t xml:space="preserve">The organization </w:t>
      </w:r>
      <w:r w:rsidR="005C48FA" w:rsidRPr="00B71D90">
        <w:t xml:space="preserve">continually </w:t>
      </w:r>
      <w:r w:rsidRPr="00B71D90">
        <w:t>assesses data completeness and takes steps to improve performance.</w:t>
      </w:r>
    </w:p>
    <w:p w:rsidR="007B7CBB" w:rsidRPr="00B71D90" w:rsidRDefault="00CD0EA1" w:rsidP="002F0935">
      <w:pPr>
        <w:pStyle w:val="Bullet-1"/>
      </w:pPr>
      <w:r w:rsidRPr="00B71D90">
        <w:t>The organization’s d</w:t>
      </w:r>
      <w:r w:rsidR="007B7CBB" w:rsidRPr="00B71D90">
        <w:t xml:space="preserve">ata completeness studies </w:t>
      </w:r>
      <w:r w:rsidRPr="00B71D90">
        <w:t xml:space="preserve">help </w:t>
      </w:r>
      <w:r w:rsidR="007B7CBB" w:rsidRPr="00B71D90">
        <w:t xml:space="preserve">determine </w:t>
      </w:r>
      <w:r w:rsidRPr="00B71D90">
        <w:t>the</w:t>
      </w:r>
      <w:r w:rsidR="005C48FA" w:rsidRPr="00B71D90">
        <w:t>ir</w:t>
      </w:r>
      <w:r w:rsidRPr="00B71D90">
        <w:t xml:space="preserve"> </w:t>
      </w:r>
      <w:r w:rsidR="007B7CBB" w:rsidRPr="00B71D90">
        <w:t>impact on reporting (</w:t>
      </w:r>
      <w:r w:rsidR="00B46BBB" w:rsidRPr="00B71D90">
        <w:t>refer to</w:t>
      </w:r>
      <w:r w:rsidR="00B46BBB" w:rsidRPr="00B71D90" w:rsidDel="00B46BBB">
        <w:t xml:space="preserve"> </w:t>
      </w:r>
      <w:r w:rsidR="007B7CBB" w:rsidRPr="00B71D90">
        <w:t>R</w:t>
      </w:r>
      <w:r w:rsidR="00F42F22" w:rsidRPr="00B71D90">
        <w:t>oadmap</w:t>
      </w:r>
      <w:r w:rsidR="007B7CBB" w:rsidRPr="00B71D90">
        <w:t xml:space="preserve"> </w:t>
      </w:r>
      <w:r w:rsidR="00571C1E" w:rsidRPr="00B71D90">
        <w:t>A</w:t>
      </w:r>
      <w:r w:rsidR="007B7CBB" w:rsidRPr="00B71D90">
        <w:t>ttachment 1.5)</w:t>
      </w:r>
      <w:r w:rsidR="00070DE8">
        <w:t>.</w:t>
      </w:r>
    </w:p>
    <w:p w:rsidR="007B7CBB" w:rsidRPr="00B71D90" w:rsidRDefault="007B7CBB" w:rsidP="002F0935">
      <w:pPr>
        <w:pStyle w:val="Bullet-1"/>
      </w:pPr>
      <w:r w:rsidRPr="00B71D90">
        <w:t xml:space="preserve">Payment arrangements for all providers </w:t>
      </w:r>
      <w:r w:rsidR="00CD0EA1" w:rsidRPr="00B71D90">
        <w:t>show the</w:t>
      </w:r>
      <w:r w:rsidR="005C48FA" w:rsidRPr="00B71D90">
        <w:t>ir</w:t>
      </w:r>
      <w:r w:rsidR="00CD0EA1" w:rsidRPr="00B71D90">
        <w:t xml:space="preserve"> </w:t>
      </w:r>
      <w:r w:rsidRPr="00B71D90">
        <w:t>impact on reporting (</w:t>
      </w:r>
      <w:r w:rsidR="00B46BBB" w:rsidRPr="00B71D90">
        <w:t>refer to</w:t>
      </w:r>
      <w:r w:rsidR="00CD0EA1" w:rsidRPr="00B71D90">
        <w:t xml:space="preserve"> </w:t>
      </w:r>
      <w:r w:rsidRPr="00B71D90">
        <w:t>R</w:t>
      </w:r>
      <w:r w:rsidR="00F42F22" w:rsidRPr="00B71D90">
        <w:t>oadmap</w:t>
      </w:r>
      <w:r w:rsidRPr="00B71D90">
        <w:t xml:space="preserve"> </w:t>
      </w:r>
      <w:r w:rsidR="00286A96">
        <w:br/>
      </w:r>
      <w:r w:rsidRPr="00B71D90">
        <w:t>Table 1.14)</w:t>
      </w:r>
      <w:r w:rsidR="00070DE8">
        <w:t>.</w:t>
      </w:r>
    </w:p>
    <w:p w:rsidR="007B7CBB" w:rsidRPr="00B71D90" w:rsidRDefault="007B7CBB" w:rsidP="002F0935">
      <w:pPr>
        <w:pStyle w:val="Bullet-1"/>
      </w:pPr>
      <w:r w:rsidRPr="00B71D90">
        <w:t>Policies, procedures and performance standards require complete submission of claims</w:t>
      </w:r>
      <w:r w:rsidR="0024705B" w:rsidRPr="00B71D90">
        <w:t xml:space="preserve"> or </w:t>
      </w:r>
      <w:r w:rsidRPr="00B71D90">
        <w:t>encounter data from all practitioners to assess data completeness</w:t>
      </w:r>
      <w:r w:rsidR="00070DE8">
        <w:t>.</w:t>
      </w:r>
    </w:p>
    <w:p w:rsidR="007B7CBB" w:rsidRPr="00B71D90" w:rsidRDefault="007B7CBB" w:rsidP="00A46F0D">
      <w:pPr>
        <w:pStyle w:val="StdText"/>
        <w:ind w:left="720" w:hanging="720"/>
      </w:pPr>
      <w:r w:rsidRPr="00B71D90">
        <w:t>IS 1.7</w:t>
      </w:r>
      <w:r w:rsidRPr="00B71D90">
        <w:tab/>
        <w:t>The organization regularly monitors vendor performance against expect</w:t>
      </w:r>
      <w:r w:rsidR="005C48FA" w:rsidRPr="00B71D90">
        <w:t>ed</w:t>
      </w:r>
      <w:r w:rsidRPr="00B71D90">
        <w:t xml:space="preserve"> performance standards</w:t>
      </w:r>
      <w:r w:rsidR="000B23DD" w:rsidRPr="00B71D90">
        <w:t>.</w:t>
      </w:r>
    </w:p>
    <w:p w:rsidR="00CD0EA1" w:rsidRPr="00B71D90" w:rsidRDefault="007B7CBB" w:rsidP="002F0935">
      <w:pPr>
        <w:pStyle w:val="Bullet-1"/>
      </w:pPr>
      <w:r w:rsidRPr="00B71D90">
        <w:t xml:space="preserve">Contracts with vendors </w:t>
      </w:r>
      <w:r w:rsidR="00CD0EA1" w:rsidRPr="00B71D90">
        <w:t>confirm that the organization</w:t>
      </w:r>
      <w:r w:rsidR="00B46BBB" w:rsidRPr="00B71D90">
        <w:t>:</w:t>
      </w:r>
    </w:p>
    <w:p w:rsidR="00CD0EA1" w:rsidRPr="00B71D90" w:rsidRDefault="00B46BBB" w:rsidP="00710445">
      <w:pPr>
        <w:pStyle w:val="Dash"/>
        <w:ind w:left="1152"/>
      </w:pPr>
      <w:r w:rsidRPr="00B71D90">
        <w:t>Re</w:t>
      </w:r>
      <w:r w:rsidR="007B7CBB" w:rsidRPr="00B71D90">
        <w:t>quire</w:t>
      </w:r>
      <w:r w:rsidR="00CD0EA1" w:rsidRPr="00B71D90">
        <w:t>s</w:t>
      </w:r>
      <w:r w:rsidR="007B7CBB" w:rsidRPr="00B71D90">
        <w:t xml:space="preserve"> data for reporting</w:t>
      </w:r>
      <w:r w:rsidR="00B8167D">
        <w:t>.</w:t>
      </w:r>
      <w:r w:rsidR="007B7CBB" w:rsidRPr="00B71D90">
        <w:t xml:space="preserve"> </w:t>
      </w:r>
    </w:p>
    <w:p w:rsidR="00CD0EA1" w:rsidRPr="00B71D90" w:rsidRDefault="00B46BBB" w:rsidP="00710445">
      <w:pPr>
        <w:pStyle w:val="Dash"/>
        <w:ind w:left="1152"/>
      </w:pPr>
      <w:r w:rsidRPr="00B71D90">
        <w:t>Provide</w:t>
      </w:r>
      <w:r w:rsidR="00CD0EA1" w:rsidRPr="00B71D90">
        <w:t>s</w:t>
      </w:r>
      <w:r w:rsidR="007B7CBB" w:rsidRPr="00B71D90">
        <w:t xml:space="preserve"> inspection and onsite auditing of data, correction and resubmission of data</w:t>
      </w:r>
      <w:r w:rsidR="00B8167D">
        <w:t>.</w:t>
      </w:r>
    </w:p>
    <w:p w:rsidR="007B7CBB" w:rsidRPr="00B71D90" w:rsidRDefault="00B46BBB" w:rsidP="00710445">
      <w:pPr>
        <w:pStyle w:val="Dash"/>
        <w:ind w:left="1152"/>
      </w:pPr>
      <w:r w:rsidRPr="00B71D90">
        <w:t>H</w:t>
      </w:r>
      <w:r w:rsidR="00CD0EA1" w:rsidRPr="00B71D90">
        <w:t xml:space="preserve">as </w:t>
      </w:r>
      <w:r w:rsidR="007B7CBB" w:rsidRPr="00B71D90">
        <w:t>backlog control standards and procedures and enforce</w:t>
      </w:r>
      <w:r w:rsidR="00CD0EA1" w:rsidRPr="00B71D90">
        <w:t>s</w:t>
      </w:r>
      <w:r w:rsidR="007B7CBB" w:rsidRPr="00B71D90">
        <w:t xml:space="preserve"> quality standards</w:t>
      </w:r>
      <w:r w:rsidR="00070DE8">
        <w:t>.</w:t>
      </w:r>
    </w:p>
    <w:p w:rsidR="007B7CBB" w:rsidRPr="00B71D90" w:rsidRDefault="007B7CBB" w:rsidP="002F0935">
      <w:pPr>
        <w:pStyle w:val="Bullet-1"/>
      </w:pPr>
      <w:r w:rsidRPr="00B71D90">
        <w:t xml:space="preserve">Studies and reports </w:t>
      </w:r>
      <w:r w:rsidR="00CD0EA1" w:rsidRPr="00B71D90">
        <w:t>are used to</w:t>
      </w:r>
      <w:r w:rsidR="00B46BBB" w:rsidRPr="00B71D90">
        <w:t>:</w:t>
      </w:r>
    </w:p>
    <w:p w:rsidR="007B7CBB" w:rsidRPr="00B71D90" w:rsidRDefault="00B46BBB" w:rsidP="00710445">
      <w:pPr>
        <w:pStyle w:val="Dash"/>
        <w:ind w:left="1152"/>
      </w:pPr>
      <w:r w:rsidRPr="00B71D90">
        <w:t xml:space="preserve">Determine </w:t>
      </w:r>
      <w:r w:rsidR="00CD0EA1" w:rsidRPr="00B71D90">
        <w:t xml:space="preserve">that claim and </w:t>
      </w:r>
      <w:r w:rsidR="007B7CBB" w:rsidRPr="00B71D90">
        <w:t xml:space="preserve">encounter data from vendors </w:t>
      </w:r>
      <w:r w:rsidR="000201C7" w:rsidRPr="00B71D90">
        <w:t xml:space="preserve">are </w:t>
      </w:r>
      <w:r w:rsidR="007B7CBB" w:rsidRPr="00B71D90">
        <w:t>complete and accurate</w:t>
      </w:r>
      <w:r w:rsidR="00B8167D">
        <w:t>.</w:t>
      </w:r>
    </w:p>
    <w:p w:rsidR="007B7CBB" w:rsidRPr="00B71D90" w:rsidRDefault="00B46BBB" w:rsidP="00710445">
      <w:pPr>
        <w:pStyle w:val="Dash"/>
        <w:ind w:left="1152"/>
      </w:pPr>
      <w:r w:rsidRPr="00B71D90">
        <w:t>Ensure that no data are los</w:t>
      </w:r>
      <w:r w:rsidR="007B7CBB" w:rsidRPr="00B71D90">
        <w:t>t or modified during transfer among vendors</w:t>
      </w:r>
      <w:r w:rsidR="00070DE8">
        <w:t>.</w:t>
      </w:r>
    </w:p>
    <w:p w:rsidR="007B7CBB" w:rsidRPr="00B71D90" w:rsidRDefault="007B7CBB" w:rsidP="007B7CBB">
      <w:pPr>
        <w:pStyle w:val="StdHead"/>
        <w:rPr>
          <w:color w:val="auto"/>
        </w:rPr>
      </w:pPr>
      <w:r w:rsidRPr="00B71D90">
        <w:rPr>
          <w:color w:val="auto"/>
        </w:rPr>
        <w:t>Software Certification</w:t>
      </w:r>
    </w:p>
    <w:p w:rsidR="007B7CBB" w:rsidRPr="00B71D90" w:rsidRDefault="007B7CBB" w:rsidP="00F42F22">
      <w:pPr>
        <w:pStyle w:val="Body"/>
      </w:pPr>
      <w:r w:rsidRPr="00B71D90">
        <w:t>The auditor is required to assess compliance with this standard. No item is affected by software certification.</w:t>
      </w:r>
    </w:p>
    <w:p w:rsidR="008B58A8" w:rsidRPr="00B71D90" w:rsidRDefault="008B58A8" w:rsidP="00FC3264">
      <w:pPr>
        <w:pStyle w:val="Bullet"/>
        <w:numPr>
          <w:ilvl w:val="0"/>
          <w:numId w:val="0"/>
        </w:numPr>
      </w:pPr>
    </w:p>
    <w:p w:rsidR="00FC3264" w:rsidRPr="00B71D90" w:rsidRDefault="00FC3264" w:rsidP="00FC3264">
      <w:pPr>
        <w:pStyle w:val="Bullet"/>
        <w:numPr>
          <w:ilvl w:val="0"/>
          <w:numId w:val="0"/>
        </w:numPr>
      </w:pPr>
    </w:p>
    <w:p w:rsidR="00B46BBB" w:rsidRPr="00B71D90" w:rsidRDefault="00B46BBB" w:rsidP="00FC3264">
      <w:pPr>
        <w:pStyle w:val="Bullet"/>
        <w:numPr>
          <w:ilvl w:val="0"/>
          <w:numId w:val="0"/>
        </w:numPr>
      </w:pPr>
    </w:p>
    <w:p w:rsidR="007B7CBB" w:rsidRPr="00B71D90" w:rsidRDefault="007B7CBB" w:rsidP="007B7CBB">
      <w:pPr>
        <w:pStyle w:val="TableText"/>
        <w:spacing w:before="0" w:after="0"/>
        <w:ind w:left="274" w:hanging="274"/>
        <w:rPr>
          <w:rFonts w:ascii="Arial" w:hAnsi="Arial" w:cs="Arial"/>
          <w:sz w:val="18"/>
          <w:szCs w:val="18"/>
        </w:rPr>
      </w:pPr>
      <w:r w:rsidRPr="00B71D90">
        <w:rPr>
          <w:rFonts w:ascii="Arial" w:hAnsi="Arial" w:cs="Arial"/>
          <w:sz w:val="18"/>
          <w:szCs w:val="18"/>
        </w:rPr>
        <w:t>_____________</w:t>
      </w:r>
    </w:p>
    <w:p w:rsidR="007B7CBB" w:rsidRPr="00B71D90" w:rsidRDefault="007B7CBB" w:rsidP="007B7CBB">
      <w:pPr>
        <w:pStyle w:val="Body"/>
        <w:spacing w:before="120"/>
        <w:rPr>
          <w:sz w:val="18"/>
          <w:szCs w:val="18"/>
        </w:rPr>
      </w:pPr>
      <w:r w:rsidRPr="00B71D90">
        <w:rPr>
          <w:sz w:val="18"/>
          <w:szCs w:val="18"/>
        </w:rPr>
        <w:t xml:space="preserve">Current </w:t>
      </w:r>
      <w:r w:rsidR="00B46BBB" w:rsidRPr="00B71D90">
        <w:rPr>
          <w:sz w:val="18"/>
          <w:szCs w:val="18"/>
        </w:rPr>
        <w:t xml:space="preserve">Procedural </w:t>
      </w:r>
      <w:r w:rsidRPr="00B71D90">
        <w:rPr>
          <w:sz w:val="18"/>
          <w:szCs w:val="18"/>
        </w:rPr>
        <w:t>Terminology © 20</w:t>
      </w:r>
      <w:r w:rsidR="00C9552A" w:rsidRPr="00B71D90">
        <w:rPr>
          <w:sz w:val="18"/>
          <w:szCs w:val="18"/>
        </w:rPr>
        <w:t>1</w:t>
      </w:r>
      <w:r w:rsidR="00DE5F3A">
        <w:rPr>
          <w:sz w:val="18"/>
          <w:szCs w:val="18"/>
        </w:rPr>
        <w:t>2</w:t>
      </w:r>
      <w:r w:rsidRPr="00B71D90">
        <w:rPr>
          <w:sz w:val="18"/>
          <w:szCs w:val="18"/>
        </w:rPr>
        <w:t xml:space="preserve"> American Medical Association. All rights reserved.</w:t>
      </w:r>
    </w:p>
    <w:p w:rsidR="007B7CBB" w:rsidRPr="00B71D90" w:rsidRDefault="007B7CBB" w:rsidP="007B7CBB">
      <w:pPr>
        <w:pStyle w:val="Heading3"/>
        <w:pBdr>
          <w:top w:val="single" w:sz="4" w:space="2" w:color="auto"/>
          <w:bottom w:val="single" w:sz="4" w:space="2" w:color="auto"/>
        </w:pBdr>
        <w:spacing w:before="0"/>
      </w:pPr>
      <w:r w:rsidRPr="00B71D90">
        <w:lastRenderedPageBreak/>
        <w:t>IS 2.</w:t>
      </w:r>
      <w:r w:rsidR="005E2C78" w:rsidRPr="00B71D90">
        <w:t>0</w:t>
      </w:r>
      <w:r w:rsidR="005E2C78" w:rsidRPr="00B71D90">
        <w:tab/>
      </w:r>
      <w:r w:rsidRPr="00B71D90">
        <w:t>Enrollment Data</w:t>
      </w:r>
      <w:r w:rsidR="00571C1E" w:rsidRPr="00B71D90">
        <w:t>—</w:t>
      </w:r>
      <w:r w:rsidRPr="00B71D90">
        <w:t>Data Capture, Transfer and Entry</w:t>
      </w:r>
    </w:p>
    <w:p w:rsidR="007B7CBB" w:rsidRPr="00B71D90" w:rsidRDefault="007B7CBB" w:rsidP="00571C1E">
      <w:pPr>
        <w:pStyle w:val="StdText"/>
        <w:spacing w:before="140"/>
        <w:ind w:left="720" w:hanging="720"/>
      </w:pPr>
      <w:r w:rsidRPr="00B71D90">
        <w:t>IS 2.1</w:t>
      </w:r>
      <w:r w:rsidRPr="00B71D90">
        <w:tab/>
        <w:t xml:space="preserve">The organization has procedures for submitting </w:t>
      </w:r>
      <w:r w:rsidR="00981F87" w:rsidRPr="00B71D90">
        <w:t>measure</w:t>
      </w:r>
      <w:r w:rsidRPr="00B71D90">
        <w:t>-relevant information for data entry.</w:t>
      </w:r>
      <w:r w:rsidR="007E41A2" w:rsidRPr="00B71D90">
        <w:t xml:space="preserve"> </w:t>
      </w:r>
      <w:r w:rsidRPr="00B71D90">
        <w:t>Electronic transmissions of membership data have necessary procedures to ensure accuracy.</w:t>
      </w:r>
    </w:p>
    <w:p w:rsidR="007B7CBB" w:rsidRPr="00B71D90" w:rsidRDefault="007B7CBB" w:rsidP="002F0935">
      <w:pPr>
        <w:pStyle w:val="Bullet-1"/>
      </w:pPr>
      <w:r w:rsidRPr="00B71D90">
        <w:t xml:space="preserve">Policies, procedures, log forms and training manuals for data submission ensure accuracy and completeness and verify </w:t>
      </w:r>
      <w:r w:rsidR="00F04991" w:rsidRPr="00B71D90">
        <w:t xml:space="preserve">that </w:t>
      </w:r>
      <w:r w:rsidRPr="00B71D90">
        <w:t>the organization has mechanisms for transferring information to the appropriate location within the organization</w:t>
      </w:r>
      <w:r w:rsidR="00070DE8">
        <w:t>.</w:t>
      </w:r>
    </w:p>
    <w:p w:rsidR="007B7CBB" w:rsidRPr="00B71D90" w:rsidRDefault="007B7CBB" w:rsidP="002F0935">
      <w:pPr>
        <w:pStyle w:val="Bullet-1"/>
      </w:pPr>
      <w:r w:rsidRPr="00B71D90">
        <w:t>Forms used by employers for additions, deletions and changes</w:t>
      </w:r>
      <w:r w:rsidR="00F04991" w:rsidRPr="00B71D90">
        <w:t>—</w:t>
      </w:r>
      <w:r w:rsidRPr="00B71D90">
        <w:t xml:space="preserve">including samples of completed forms, policies, procedures and instructions for </w:t>
      </w:r>
      <w:r w:rsidR="002F0935" w:rsidRPr="00B71D90">
        <w:t>completing</w:t>
      </w:r>
      <w:r w:rsidRPr="00B71D90">
        <w:t xml:space="preserve"> membership </w:t>
      </w:r>
      <w:r w:rsidR="00F04991" w:rsidRPr="00B71D90">
        <w:t>forms—</w:t>
      </w:r>
      <w:r w:rsidR="00134FDB" w:rsidRPr="00B71D90">
        <w:t xml:space="preserve">ensure </w:t>
      </w:r>
      <w:r w:rsidR="00F04991" w:rsidRPr="00B71D90">
        <w:t xml:space="preserve">that </w:t>
      </w:r>
      <w:r w:rsidRPr="00B71D90">
        <w:t>all fields relevant to reporting are included (</w:t>
      </w:r>
      <w:r w:rsidR="00854B41" w:rsidRPr="00B71D90">
        <w:t>refer to</w:t>
      </w:r>
      <w:r w:rsidR="00134FDB" w:rsidRPr="00B71D90">
        <w:t xml:space="preserve"> </w:t>
      </w:r>
      <w:r w:rsidRPr="00B71D90">
        <w:t>R</w:t>
      </w:r>
      <w:r w:rsidR="00471130" w:rsidRPr="00B71D90">
        <w:t>oadmap</w:t>
      </w:r>
      <w:r w:rsidRPr="00B71D90">
        <w:t xml:space="preserve"> Table 2.2)</w:t>
      </w:r>
      <w:r w:rsidR="00070DE8">
        <w:t>.</w:t>
      </w:r>
    </w:p>
    <w:p w:rsidR="007B7CBB" w:rsidRPr="00B71D90" w:rsidRDefault="007B7CBB" w:rsidP="002F0935">
      <w:pPr>
        <w:pStyle w:val="Bullet-1"/>
      </w:pPr>
      <w:r w:rsidRPr="00B71D90">
        <w:t>Electronic file formats and protocols</w:t>
      </w:r>
      <w:r w:rsidR="00134FDB" w:rsidRPr="00B71D90">
        <w:t xml:space="preserve"> </w:t>
      </w:r>
      <w:r w:rsidRPr="00B71D90">
        <w:t xml:space="preserve">ensure capture </w:t>
      </w:r>
      <w:r w:rsidR="00F04991" w:rsidRPr="00B71D90">
        <w:t xml:space="preserve">of </w:t>
      </w:r>
      <w:r w:rsidRPr="00B71D90">
        <w:t>all data fields listed in Roadmap Table 2.2</w:t>
      </w:r>
      <w:r w:rsidR="00070DE8">
        <w:t>.</w:t>
      </w:r>
    </w:p>
    <w:p w:rsidR="007B7CBB" w:rsidRPr="00B71D90" w:rsidRDefault="007B7CBB" w:rsidP="002F0935">
      <w:pPr>
        <w:pStyle w:val="Bullet-1"/>
      </w:pPr>
      <w:r w:rsidRPr="00B71D90">
        <w:t>Policies and procedures</w:t>
      </w:r>
      <w:r w:rsidR="00134FDB" w:rsidRPr="00B71D90">
        <w:t xml:space="preserve"> for submitting and transmitting</w:t>
      </w:r>
      <w:r w:rsidRPr="00B71D90">
        <w:t xml:space="preserve"> </w:t>
      </w:r>
      <w:r w:rsidR="00134FDB" w:rsidRPr="00B71D90">
        <w:t>electronic information</w:t>
      </w:r>
      <w:r w:rsidR="00804972" w:rsidRPr="00B71D90">
        <w:t xml:space="preserve"> should include evidence that:</w:t>
      </w:r>
    </w:p>
    <w:p w:rsidR="007B7CBB" w:rsidRPr="00B71D90" w:rsidRDefault="002F22B1" w:rsidP="002F22B1">
      <w:pPr>
        <w:pStyle w:val="Dash"/>
        <w:tabs>
          <w:tab w:val="clear" w:pos="792"/>
        </w:tabs>
        <w:ind w:left="1152"/>
      </w:pPr>
      <w:r w:rsidRPr="00B71D90">
        <w:t>The orga</w:t>
      </w:r>
      <w:r w:rsidR="007B7CBB" w:rsidRPr="00B71D90">
        <w:t>nization effectively monitors the quality and accuracy of its electronic submissions</w:t>
      </w:r>
      <w:r w:rsidR="00C3141E">
        <w:t>.</w:t>
      </w:r>
    </w:p>
    <w:p w:rsidR="007B7CBB" w:rsidRPr="00B71D90" w:rsidRDefault="002F22B1" w:rsidP="002F22B1">
      <w:pPr>
        <w:pStyle w:val="Dash"/>
        <w:tabs>
          <w:tab w:val="clear" w:pos="792"/>
        </w:tabs>
        <w:ind w:left="1152"/>
      </w:pPr>
      <w:r w:rsidRPr="00B71D90">
        <w:t>Transmissions are properly controlled by logs, record count verification, redundancy checking re</w:t>
      </w:r>
      <w:r w:rsidR="007B7CBB" w:rsidRPr="00B71D90">
        <w:t>ceipts, retransmissions and sign-offs</w:t>
      </w:r>
      <w:r w:rsidR="00070DE8">
        <w:t>.</w:t>
      </w:r>
    </w:p>
    <w:p w:rsidR="007B7CBB" w:rsidRPr="00B71D90" w:rsidRDefault="007B7CBB" w:rsidP="00003E19">
      <w:pPr>
        <w:pStyle w:val="StdText"/>
        <w:ind w:left="720" w:hanging="720"/>
      </w:pPr>
      <w:r w:rsidRPr="00B71D90">
        <w:t>IS 2.2</w:t>
      </w:r>
      <w:r w:rsidRPr="00B71D90">
        <w:tab/>
        <w:t>Data entry processes are</w:t>
      </w:r>
      <w:r w:rsidR="00BE4E8D" w:rsidRPr="00B71D90">
        <w:t xml:space="preserve"> </w:t>
      </w:r>
      <w:r w:rsidRPr="00B71D90">
        <w:t xml:space="preserve">timely </w:t>
      </w:r>
      <w:r w:rsidR="00093FA8" w:rsidRPr="00B71D90">
        <w:t xml:space="preserve">and accurate </w:t>
      </w:r>
      <w:r w:rsidR="009E23A8" w:rsidRPr="00B71D90">
        <w:t xml:space="preserve">and </w:t>
      </w:r>
      <w:r w:rsidRPr="00B71D90">
        <w:t>include sufficient edit checks to ensure accurate entry of submitted data in transaction files.</w:t>
      </w:r>
    </w:p>
    <w:p w:rsidR="007B7CBB" w:rsidRPr="00B71D90" w:rsidRDefault="007B7CBB" w:rsidP="002F0935">
      <w:pPr>
        <w:pStyle w:val="Bullet-1"/>
      </w:pPr>
      <w:r w:rsidRPr="00B71D90">
        <w:t>Standard monitoring reports for all membership operations personnel</w:t>
      </w:r>
      <w:r w:rsidR="00F04991" w:rsidRPr="00B71D90">
        <w:t>—</w:t>
      </w:r>
      <w:r w:rsidRPr="00B71D90">
        <w:t>including data entry, membership processing staff and hardware operations</w:t>
      </w:r>
      <w:r w:rsidR="00F04991" w:rsidRPr="00B71D90">
        <w:t>—</w:t>
      </w:r>
      <w:r w:rsidRPr="00B71D90">
        <w:t xml:space="preserve">verify </w:t>
      </w:r>
      <w:r w:rsidR="00F04991" w:rsidRPr="00B71D90">
        <w:t xml:space="preserve">that </w:t>
      </w:r>
      <w:r w:rsidRPr="00B71D90">
        <w:t>the organization effectively monitors the quality, accuracy, timeliness and productivity of its entry processes</w:t>
      </w:r>
      <w:r w:rsidR="00070DE8">
        <w:t>.</w:t>
      </w:r>
    </w:p>
    <w:p w:rsidR="007B7CBB" w:rsidRPr="00B71D90" w:rsidRDefault="007B7CBB" w:rsidP="002F0935">
      <w:pPr>
        <w:pStyle w:val="Bullet-1"/>
      </w:pPr>
      <w:r w:rsidRPr="00B71D90">
        <w:t>Flowcharts describe membership processing from all sources (</w:t>
      </w:r>
      <w:r w:rsidR="00003E19" w:rsidRPr="00B71D90">
        <w:t xml:space="preserve">refer to </w:t>
      </w:r>
      <w:r w:rsidRPr="00B71D90">
        <w:t>R</w:t>
      </w:r>
      <w:r w:rsidR="00471130" w:rsidRPr="00B71D90">
        <w:t>oadmap</w:t>
      </w:r>
      <w:r w:rsidRPr="00B71D90">
        <w:t xml:space="preserve"> </w:t>
      </w:r>
      <w:r w:rsidR="00003E19" w:rsidRPr="00B71D90">
        <w:t xml:space="preserve">Attachment </w:t>
      </w:r>
      <w:r w:rsidRPr="00B71D90">
        <w:t>2.1)</w:t>
      </w:r>
      <w:r w:rsidR="00070DE8">
        <w:t>.</w:t>
      </w:r>
    </w:p>
    <w:p w:rsidR="007B7CBB" w:rsidRPr="00B71D90" w:rsidRDefault="007B7CBB" w:rsidP="002F0935">
      <w:pPr>
        <w:pStyle w:val="Bullet-1"/>
      </w:pPr>
      <w:r w:rsidRPr="00B71D90">
        <w:t>Data entry processors enter all required data elements (</w:t>
      </w:r>
      <w:r w:rsidR="00003E19" w:rsidRPr="00B71D90">
        <w:t xml:space="preserve">refer to </w:t>
      </w:r>
      <w:r w:rsidRPr="00B71D90">
        <w:t>R</w:t>
      </w:r>
      <w:r w:rsidR="00471130" w:rsidRPr="00B71D90">
        <w:t>oadmap</w:t>
      </w:r>
      <w:r w:rsidRPr="00B71D90">
        <w:t xml:space="preserve"> Table 2.2).</w:t>
      </w:r>
    </w:p>
    <w:p w:rsidR="007B7CBB" w:rsidRPr="00B71D90" w:rsidRDefault="002F0935" w:rsidP="002F0935">
      <w:pPr>
        <w:pStyle w:val="Bullet-1"/>
      </w:pPr>
      <w:r w:rsidRPr="00B71D90">
        <w:t>Data entry p</w:t>
      </w:r>
      <w:r w:rsidR="007B7CBB" w:rsidRPr="00B71D90">
        <w:t>olicies and procedures and training manuals ensure accuracy and completeness</w:t>
      </w:r>
      <w:r w:rsidR="00070DE8">
        <w:t>.</w:t>
      </w:r>
    </w:p>
    <w:p w:rsidR="007B7CBB" w:rsidRPr="00B71D90" w:rsidRDefault="007B7CBB" w:rsidP="002F0935">
      <w:pPr>
        <w:pStyle w:val="Bullet-1"/>
      </w:pPr>
      <w:r w:rsidRPr="00B71D90">
        <w:t xml:space="preserve">Membership data entry screens </w:t>
      </w:r>
      <w:r w:rsidR="00134FDB" w:rsidRPr="00B71D90">
        <w:t>have</w:t>
      </w:r>
      <w:r w:rsidR="00003E19" w:rsidRPr="00B71D90">
        <w:t>:</w:t>
      </w:r>
    </w:p>
    <w:p w:rsidR="007B7CBB" w:rsidRPr="00B71D90" w:rsidRDefault="002F22B1" w:rsidP="002F22B1">
      <w:pPr>
        <w:pStyle w:val="Dash"/>
        <w:tabs>
          <w:tab w:val="clear" w:pos="792"/>
        </w:tabs>
        <w:ind w:left="1152"/>
      </w:pPr>
      <w:r w:rsidRPr="00B71D90">
        <w:t xml:space="preserve">Proper edit checks </w:t>
      </w:r>
      <w:r w:rsidR="00134FDB" w:rsidRPr="00B71D90">
        <w:t xml:space="preserve">for </w:t>
      </w:r>
      <w:r w:rsidR="007B7CBB" w:rsidRPr="00B71D90">
        <w:t xml:space="preserve">parity, field sizes, date ranges, </w:t>
      </w:r>
      <w:r w:rsidR="00134FDB" w:rsidRPr="00B71D90">
        <w:t xml:space="preserve">code ranges, practitioner services by specialty and </w:t>
      </w:r>
      <w:r w:rsidR="007B7CBB" w:rsidRPr="00B71D90">
        <w:t>cross checks wi</w:t>
      </w:r>
      <w:r w:rsidR="00134FDB" w:rsidRPr="00B71D90">
        <w:t>th member and practitioner files</w:t>
      </w:r>
      <w:r w:rsidR="00B8167D">
        <w:t>.</w:t>
      </w:r>
    </w:p>
    <w:p w:rsidR="007B7CBB" w:rsidRPr="00B71D90" w:rsidRDefault="002F22B1" w:rsidP="002F22B1">
      <w:pPr>
        <w:pStyle w:val="Dash"/>
        <w:tabs>
          <w:tab w:val="clear" w:pos="792"/>
        </w:tabs>
        <w:ind w:left="1152"/>
      </w:pPr>
      <w:r w:rsidRPr="00B71D90">
        <w:t>All</w:t>
      </w:r>
      <w:r w:rsidR="007B7CBB" w:rsidRPr="00B71D90">
        <w:t xml:space="preserve"> data fields listed in the Roadmap Table 2.2</w:t>
      </w:r>
      <w:r w:rsidR="00070DE8">
        <w:t>.</w:t>
      </w:r>
    </w:p>
    <w:p w:rsidR="007B7CBB" w:rsidRPr="00B71D90" w:rsidRDefault="00FC796B" w:rsidP="002F0935">
      <w:pPr>
        <w:pStyle w:val="Bullet-1"/>
      </w:pPr>
      <w:r w:rsidRPr="00B71D90">
        <w:t xml:space="preserve">Data transaction files are </w:t>
      </w:r>
      <w:r w:rsidR="007B7CBB" w:rsidRPr="00B71D90">
        <w:t>a</w:t>
      </w:r>
      <w:r w:rsidRPr="00B71D90">
        <w:t>ccurate</w:t>
      </w:r>
      <w:r w:rsidR="007B7CBB" w:rsidRPr="00B71D90">
        <w:t>, including</w:t>
      </w:r>
      <w:r w:rsidR="00003E19" w:rsidRPr="00B71D90">
        <w:t>:</w:t>
      </w:r>
    </w:p>
    <w:p w:rsidR="007B7CBB" w:rsidRPr="00B71D90" w:rsidRDefault="00F42C5D" w:rsidP="002F22B1">
      <w:pPr>
        <w:pStyle w:val="Dash"/>
        <w:tabs>
          <w:tab w:val="clear" w:pos="792"/>
        </w:tabs>
        <w:ind w:left="1152"/>
      </w:pPr>
      <w:r w:rsidRPr="00B71D90">
        <w:t>C</w:t>
      </w:r>
      <w:r w:rsidR="00736D49" w:rsidRPr="00B71D90">
        <w:t>omparison of a</w:t>
      </w:r>
      <w:r w:rsidR="002F22B1" w:rsidRPr="00B71D90">
        <w:t xml:space="preserve"> sample of data-entry files </w:t>
      </w:r>
      <w:r w:rsidR="00736D49" w:rsidRPr="00B71D90">
        <w:t xml:space="preserve">with </w:t>
      </w:r>
      <w:r w:rsidR="007B7CBB" w:rsidRPr="00B71D90">
        <w:t xml:space="preserve">source documents </w:t>
      </w:r>
      <w:r w:rsidR="00736D49" w:rsidRPr="00B71D90">
        <w:t xml:space="preserve">to </w:t>
      </w:r>
      <w:r w:rsidR="00FC796B" w:rsidRPr="00B71D90">
        <w:t>ensure</w:t>
      </w:r>
      <w:r w:rsidR="007B7CBB" w:rsidRPr="00B71D90">
        <w:t xml:space="preserve"> that all data are entered and are not changed or deleted during processing</w:t>
      </w:r>
      <w:r w:rsidR="00B8167D">
        <w:t>.</w:t>
      </w:r>
    </w:p>
    <w:p w:rsidR="007B7CBB" w:rsidRPr="00B71D90" w:rsidRDefault="00F42C5D" w:rsidP="002F22B1">
      <w:pPr>
        <w:pStyle w:val="Dash"/>
        <w:tabs>
          <w:tab w:val="clear" w:pos="792"/>
        </w:tabs>
        <w:ind w:left="1152"/>
      </w:pPr>
      <w:r w:rsidRPr="00B71D90">
        <w:t>C</w:t>
      </w:r>
      <w:r w:rsidR="00736D49" w:rsidRPr="00B71D90">
        <w:t>omparison of a</w:t>
      </w:r>
      <w:r w:rsidR="002F22B1" w:rsidRPr="00B71D90">
        <w:t xml:space="preserve"> sample of</w:t>
      </w:r>
      <w:r w:rsidR="007B7CBB" w:rsidRPr="00B71D90">
        <w:t xml:space="preserve"> electronically transmitted files </w:t>
      </w:r>
      <w:r w:rsidR="00736D49" w:rsidRPr="00B71D90">
        <w:t>with</w:t>
      </w:r>
      <w:r w:rsidR="007B7CBB" w:rsidRPr="00B71D90">
        <w:t xml:space="preserve"> source documents </w:t>
      </w:r>
      <w:r w:rsidR="00736D49" w:rsidRPr="00B71D90">
        <w:t xml:space="preserve">to </w:t>
      </w:r>
      <w:r w:rsidR="007B7CBB" w:rsidRPr="00B71D90">
        <w:t>ensure that all data are transmitted and are not changed or deleted during processing</w:t>
      </w:r>
      <w:r w:rsidR="00070DE8">
        <w:t>.</w:t>
      </w:r>
    </w:p>
    <w:p w:rsidR="007B7CBB" w:rsidRPr="00B71D90" w:rsidRDefault="007B7CBB" w:rsidP="00003E19">
      <w:pPr>
        <w:pStyle w:val="StdText"/>
        <w:ind w:left="720" w:hanging="720"/>
      </w:pPr>
      <w:r w:rsidRPr="00B71D90">
        <w:t>IS 2.3</w:t>
      </w:r>
      <w:r w:rsidRPr="00B71D90">
        <w:tab/>
        <w:t xml:space="preserve">The organization </w:t>
      </w:r>
      <w:r w:rsidR="00F42C5D" w:rsidRPr="00B71D90">
        <w:t xml:space="preserve">continually </w:t>
      </w:r>
      <w:r w:rsidRPr="00B71D90">
        <w:t>assesses data completeness and takes steps to improve</w:t>
      </w:r>
      <w:r w:rsidR="00F42C5D" w:rsidRPr="00B71D90">
        <w:t xml:space="preserve"> </w:t>
      </w:r>
      <w:r w:rsidRPr="00B71D90">
        <w:t>performance.</w:t>
      </w:r>
    </w:p>
    <w:p w:rsidR="005774F3" w:rsidRPr="00B71D90" w:rsidRDefault="005774F3" w:rsidP="002F0935">
      <w:pPr>
        <w:pStyle w:val="Bullet-1"/>
      </w:pPr>
      <w:r w:rsidRPr="00B71D90">
        <w:t>The organization’s membership system can accommodate</w:t>
      </w:r>
      <w:r w:rsidR="00F42C5D" w:rsidRPr="00B71D90">
        <w:t>:</w:t>
      </w:r>
    </w:p>
    <w:p w:rsidR="005774F3" w:rsidRPr="00B71D90" w:rsidRDefault="002F22B1" w:rsidP="002F22B1">
      <w:pPr>
        <w:pStyle w:val="Dash"/>
        <w:tabs>
          <w:tab w:val="clear" w:pos="792"/>
        </w:tabs>
        <w:ind w:left="1152"/>
      </w:pPr>
      <w:r w:rsidRPr="00B71D90">
        <w:t xml:space="preserve">Changes </w:t>
      </w:r>
      <w:r w:rsidR="005774F3" w:rsidRPr="00B71D90">
        <w:t>in family status</w:t>
      </w:r>
      <w:r w:rsidR="00B8167D">
        <w:t>.</w:t>
      </w:r>
    </w:p>
    <w:p w:rsidR="005774F3" w:rsidRPr="00B71D90" w:rsidRDefault="002F22B1" w:rsidP="002F22B1">
      <w:pPr>
        <w:pStyle w:val="Dash"/>
        <w:tabs>
          <w:tab w:val="clear" w:pos="792"/>
        </w:tabs>
        <w:ind w:left="1152"/>
      </w:pPr>
      <w:r w:rsidRPr="00B71D90">
        <w:t>Changes in employment</w:t>
      </w:r>
      <w:r w:rsidR="00B8167D">
        <w:t>.</w:t>
      </w:r>
    </w:p>
    <w:p w:rsidR="005774F3" w:rsidRPr="00B71D90" w:rsidRDefault="002F22B1" w:rsidP="002F22B1">
      <w:pPr>
        <w:pStyle w:val="Dash"/>
        <w:tabs>
          <w:tab w:val="clear" w:pos="792"/>
        </w:tabs>
        <w:ind w:left="1152"/>
      </w:pPr>
      <w:r w:rsidRPr="00B71D90">
        <w:t>Changes in product line</w:t>
      </w:r>
      <w:r w:rsidR="00B8167D">
        <w:t>.</w:t>
      </w:r>
    </w:p>
    <w:p w:rsidR="005774F3" w:rsidRPr="00B71D90" w:rsidRDefault="002F22B1" w:rsidP="002F22B1">
      <w:pPr>
        <w:pStyle w:val="Dash"/>
        <w:tabs>
          <w:tab w:val="clear" w:pos="792"/>
        </w:tabs>
        <w:ind w:left="1152"/>
      </w:pPr>
      <w:r w:rsidRPr="00B71D90">
        <w:t>Changes in product</w:t>
      </w:r>
      <w:r w:rsidR="00B8167D">
        <w:t>.</w:t>
      </w:r>
    </w:p>
    <w:p w:rsidR="005774F3" w:rsidRPr="00B71D90" w:rsidRDefault="002F22B1" w:rsidP="002F22B1">
      <w:pPr>
        <w:pStyle w:val="Dash"/>
        <w:tabs>
          <w:tab w:val="clear" w:pos="792"/>
        </w:tabs>
        <w:ind w:left="1152"/>
      </w:pPr>
      <w:r w:rsidRPr="00B71D90">
        <w:t xml:space="preserve">Methods for defining </w:t>
      </w:r>
      <w:r w:rsidR="00F42C5D" w:rsidRPr="00B71D90">
        <w:t xml:space="preserve">coverage </w:t>
      </w:r>
      <w:r w:rsidRPr="00B71D90">
        <w:t xml:space="preserve">start and </w:t>
      </w:r>
      <w:r w:rsidR="00736D49" w:rsidRPr="00B71D90">
        <w:t>end</w:t>
      </w:r>
      <w:r w:rsidR="00B8167D">
        <w:t>.</w:t>
      </w:r>
    </w:p>
    <w:p w:rsidR="00350E31" w:rsidRDefault="002F22B1" w:rsidP="002F22B1">
      <w:pPr>
        <w:pStyle w:val="Dash"/>
        <w:tabs>
          <w:tab w:val="clear" w:pos="792"/>
        </w:tabs>
        <w:ind w:left="1152"/>
        <w:sectPr w:rsidR="00350E31" w:rsidSect="00550D6B">
          <w:headerReference w:type="default" r:id="rId74"/>
          <w:footerReference w:type="default" r:id="rId75"/>
          <w:footnotePr>
            <w:numStart w:val="2"/>
          </w:footnotePr>
          <w:pgSz w:w="12240" w:h="15840" w:code="1"/>
          <w:pgMar w:top="1080" w:right="1080" w:bottom="1080" w:left="1440" w:header="720" w:footer="720" w:gutter="0"/>
          <w:cols w:space="720"/>
        </w:sectPr>
      </w:pPr>
      <w:r w:rsidRPr="00B71D90">
        <w:t>Multiple membership status changes, including membership periods and disenrollment information</w:t>
      </w:r>
      <w:r w:rsidR="00070DE8">
        <w:t>.</w:t>
      </w:r>
    </w:p>
    <w:p w:rsidR="007B7CBB" w:rsidRPr="00B71D90" w:rsidRDefault="007B7CBB" w:rsidP="00350E31">
      <w:pPr>
        <w:pStyle w:val="Bullet-1"/>
        <w:spacing w:before="0"/>
      </w:pPr>
      <w:r w:rsidRPr="00B71D90">
        <w:lastRenderedPageBreak/>
        <w:t>Policies, procedures and performance standards require</w:t>
      </w:r>
      <w:r w:rsidR="00E418BE" w:rsidRPr="00B71D90">
        <w:t>:</w:t>
      </w:r>
      <w:r w:rsidRPr="00B71D90">
        <w:t xml:space="preserve"> </w:t>
      </w:r>
    </w:p>
    <w:p w:rsidR="007B7CBB" w:rsidRPr="00B71D90" w:rsidRDefault="002F22B1" w:rsidP="002F22B1">
      <w:pPr>
        <w:pStyle w:val="Dash"/>
        <w:tabs>
          <w:tab w:val="clear" w:pos="792"/>
        </w:tabs>
        <w:ind w:left="1152"/>
      </w:pPr>
      <w:r w:rsidRPr="00B71D90">
        <w:t xml:space="preserve">Complete submission </w:t>
      </w:r>
      <w:r w:rsidR="007B7CBB" w:rsidRPr="00B71D90">
        <w:t>and entry of membership data</w:t>
      </w:r>
      <w:r w:rsidR="00B8167D">
        <w:t>.</w:t>
      </w:r>
    </w:p>
    <w:p w:rsidR="007B7CBB" w:rsidRPr="00B71D90" w:rsidRDefault="00E418BE" w:rsidP="002F22B1">
      <w:pPr>
        <w:pStyle w:val="Dash"/>
        <w:tabs>
          <w:tab w:val="clear" w:pos="792"/>
        </w:tabs>
        <w:ind w:left="1152"/>
      </w:pPr>
      <w:r w:rsidRPr="00B71D90">
        <w:t>Proper control of t</w:t>
      </w:r>
      <w:r w:rsidR="002F22B1" w:rsidRPr="00B71D90">
        <w:t xml:space="preserve">ransmissions </w:t>
      </w:r>
      <w:r w:rsidRPr="00B71D90">
        <w:t>through</w:t>
      </w:r>
      <w:r w:rsidR="007B7CBB" w:rsidRPr="00B71D90">
        <w:t xml:space="preserve"> logs, record count verification, redundancy checking receipts, retransmissions and sign-offs</w:t>
      </w:r>
      <w:r w:rsidR="00070DE8">
        <w:t>.</w:t>
      </w:r>
    </w:p>
    <w:p w:rsidR="007B7CBB" w:rsidRPr="00B71D90" w:rsidRDefault="007B7CBB" w:rsidP="002F0935">
      <w:pPr>
        <w:pStyle w:val="Bullet-1"/>
      </w:pPr>
      <w:r w:rsidRPr="00B71D90">
        <w:t>Policies, procedures and performance standards</w:t>
      </w:r>
      <w:r w:rsidR="00E418BE" w:rsidRPr="00B71D90">
        <w:t>:</w:t>
      </w:r>
      <w:r w:rsidRPr="00B71D90">
        <w:t xml:space="preserve"> </w:t>
      </w:r>
    </w:p>
    <w:p w:rsidR="007B7CBB" w:rsidRPr="00B71D90" w:rsidRDefault="002F22B1" w:rsidP="002F22B1">
      <w:pPr>
        <w:pStyle w:val="Dash"/>
        <w:tabs>
          <w:tab w:val="clear" w:pos="792"/>
        </w:tabs>
        <w:ind w:left="1152"/>
      </w:pPr>
      <w:r w:rsidRPr="00B71D90">
        <w:t>R</w:t>
      </w:r>
      <w:r w:rsidR="007B7CBB" w:rsidRPr="00B71D90">
        <w:t>equire complete submission of data to ancillary vendors</w:t>
      </w:r>
      <w:r w:rsidR="00B8167D">
        <w:t>.</w:t>
      </w:r>
    </w:p>
    <w:p w:rsidR="007B7CBB" w:rsidRPr="00B71D90" w:rsidRDefault="002F22B1" w:rsidP="002F22B1">
      <w:pPr>
        <w:pStyle w:val="Dash"/>
        <w:tabs>
          <w:tab w:val="clear" w:pos="792"/>
        </w:tabs>
        <w:ind w:left="1152"/>
      </w:pPr>
      <w:r w:rsidRPr="00B71D90">
        <w:t>D</w:t>
      </w:r>
      <w:r w:rsidR="007B7CBB" w:rsidRPr="00B71D90">
        <w:t xml:space="preserve">escribe </w:t>
      </w:r>
      <w:r w:rsidR="00F42C5D" w:rsidRPr="00B71D90">
        <w:t xml:space="preserve">the process for submitting data to ancillary vendors and </w:t>
      </w:r>
      <w:r w:rsidR="007B7CBB" w:rsidRPr="00B71D90">
        <w:t>how often</w:t>
      </w:r>
      <w:r w:rsidR="00F42C5D" w:rsidRPr="00B71D90">
        <w:t xml:space="preserve"> data are submitted</w:t>
      </w:r>
      <w:r w:rsidR="00B8167D">
        <w:t>.</w:t>
      </w:r>
    </w:p>
    <w:p w:rsidR="007B7CBB" w:rsidRPr="00B71D90" w:rsidRDefault="002F22B1" w:rsidP="002F22B1">
      <w:pPr>
        <w:pStyle w:val="Dash"/>
        <w:tabs>
          <w:tab w:val="clear" w:pos="792"/>
        </w:tabs>
        <w:ind w:left="1152"/>
      </w:pPr>
      <w:r w:rsidRPr="00B71D90">
        <w:t>D</w:t>
      </w:r>
      <w:r w:rsidR="007B7CBB" w:rsidRPr="00B71D90">
        <w:t xml:space="preserve">escribe the </w:t>
      </w:r>
      <w:r w:rsidR="00F42C5D" w:rsidRPr="00B71D90">
        <w:t xml:space="preserve">data </w:t>
      </w:r>
      <w:r w:rsidR="007B7CBB" w:rsidRPr="00B71D90">
        <w:t>oversight process for the ancillary vendor</w:t>
      </w:r>
      <w:r w:rsidR="00070DE8">
        <w:t>.</w:t>
      </w:r>
    </w:p>
    <w:p w:rsidR="007B7CBB" w:rsidRPr="00B71D90" w:rsidRDefault="007B7CBB" w:rsidP="009301D8">
      <w:pPr>
        <w:pStyle w:val="StdText"/>
        <w:ind w:left="720" w:hanging="720"/>
      </w:pPr>
      <w:r w:rsidRPr="00B71D90">
        <w:t>IS 2.4</w:t>
      </w:r>
      <w:r w:rsidRPr="00B71D90">
        <w:tab/>
        <w:t>The organization regularly monitors vendor performance against expect</w:t>
      </w:r>
      <w:r w:rsidR="00F42C5D" w:rsidRPr="00B71D90">
        <w:t>ed</w:t>
      </w:r>
      <w:r w:rsidRPr="00B71D90">
        <w:t xml:space="preserve"> performance standards</w:t>
      </w:r>
      <w:r w:rsidR="000B23DD" w:rsidRPr="00B71D90">
        <w:t>.</w:t>
      </w:r>
    </w:p>
    <w:p w:rsidR="007B7CBB" w:rsidRPr="00B71D90" w:rsidRDefault="007B7CBB" w:rsidP="002F0935">
      <w:pPr>
        <w:pStyle w:val="Bullet-1"/>
      </w:pPr>
      <w:r w:rsidRPr="00B71D90">
        <w:t>Contracts with vendors require data for reporting and provide inspection and onsite auditing of data</w:t>
      </w:r>
      <w:r w:rsidR="00E418BE" w:rsidRPr="00B71D90">
        <w:t xml:space="preserve">; </w:t>
      </w:r>
      <w:r w:rsidRPr="00B71D90">
        <w:t>correction and resubmission of data and backlog control standards and procedures</w:t>
      </w:r>
      <w:r w:rsidR="00E418BE" w:rsidRPr="00B71D90">
        <w:t>;</w:t>
      </w:r>
      <w:r w:rsidRPr="00B71D90">
        <w:t xml:space="preserve"> and enforce quality standards</w:t>
      </w:r>
      <w:r w:rsidR="00070DE8">
        <w:t>.</w:t>
      </w:r>
    </w:p>
    <w:p w:rsidR="007B7CBB" w:rsidRPr="00B71D90" w:rsidRDefault="007B7CBB" w:rsidP="002F0935">
      <w:pPr>
        <w:pStyle w:val="Bullet-1"/>
      </w:pPr>
      <w:r w:rsidRPr="00B71D90">
        <w:t xml:space="preserve">Studies and reports </w:t>
      </w:r>
      <w:r w:rsidR="00FC796B" w:rsidRPr="00B71D90">
        <w:t>show that</w:t>
      </w:r>
      <w:r w:rsidR="00E418BE" w:rsidRPr="00B71D90">
        <w:t>:</w:t>
      </w:r>
    </w:p>
    <w:p w:rsidR="007B7CBB" w:rsidRPr="00B71D90" w:rsidRDefault="002F22B1" w:rsidP="002F22B1">
      <w:pPr>
        <w:pStyle w:val="Dash"/>
        <w:tabs>
          <w:tab w:val="clear" w:pos="792"/>
        </w:tabs>
        <w:ind w:left="1152"/>
      </w:pPr>
      <w:r w:rsidRPr="00B71D90">
        <w:t>Membership</w:t>
      </w:r>
      <w:r w:rsidR="007B7CBB" w:rsidRPr="00B71D90">
        <w:t xml:space="preserve"> level data from vendors </w:t>
      </w:r>
      <w:r w:rsidR="00F04991" w:rsidRPr="00B71D90">
        <w:t xml:space="preserve">are </w:t>
      </w:r>
      <w:r w:rsidR="007B7CBB" w:rsidRPr="00B71D90">
        <w:t>complete and accurate</w:t>
      </w:r>
      <w:r w:rsidR="00B8167D">
        <w:t>.</w:t>
      </w:r>
    </w:p>
    <w:p w:rsidR="007B7CBB" w:rsidRPr="00B71D90" w:rsidRDefault="002F22B1" w:rsidP="002F22B1">
      <w:pPr>
        <w:pStyle w:val="Dash"/>
        <w:tabs>
          <w:tab w:val="clear" w:pos="792"/>
        </w:tabs>
        <w:ind w:left="1152"/>
      </w:pPr>
      <w:r w:rsidRPr="00B71D90">
        <w:t>N</w:t>
      </w:r>
      <w:r w:rsidR="007B7CBB" w:rsidRPr="00B71D90">
        <w:t xml:space="preserve">o data </w:t>
      </w:r>
      <w:r w:rsidR="00E418BE" w:rsidRPr="00B71D90">
        <w:t xml:space="preserve">are </w:t>
      </w:r>
      <w:r w:rsidR="007B7CBB" w:rsidRPr="00B71D90">
        <w:t>lost or modified during transfer</w:t>
      </w:r>
      <w:r w:rsidR="00070DE8">
        <w:t>.</w:t>
      </w:r>
    </w:p>
    <w:p w:rsidR="007B7CBB" w:rsidRPr="00B71D90" w:rsidRDefault="007B7CBB" w:rsidP="007B7CBB">
      <w:pPr>
        <w:pStyle w:val="StdHead"/>
        <w:rPr>
          <w:color w:val="auto"/>
        </w:rPr>
      </w:pPr>
      <w:r w:rsidRPr="00B71D90">
        <w:rPr>
          <w:color w:val="auto"/>
        </w:rPr>
        <w:t>Software Certification</w:t>
      </w:r>
    </w:p>
    <w:p w:rsidR="007B7CBB" w:rsidRPr="00B71D90" w:rsidRDefault="007B7CBB" w:rsidP="007B7CBB">
      <w:pPr>
        <w:pStyle w:val="Body"/>
      </w:pPr>
      <w:r w:rsidRPr="00B71D90">
        <w:t>The auditor is required to assess compliance with this standard. No item is affected by software certification.</w:t>
      </w:r>
    </w:p>
    <w:p w:rsidR="007B7CBB" w:rsidRPr="00B71D90" w:rsidRDefault="007B7CBB" w:rsidP="007B7CBB">
      <w:pPr>
        <w:pStyle w:val="Body"/>
      </w:pPr>
    </w:p>
    <w:p w:rsidR="007B7CBB" w:rsidRPr="00B71D90" w:rsidRDefault="007B7CBB" w:rsidP="007B7CBB">
      <w:pPr>
        <w:pStyle w:val="Body"/>
        <w:sectPr w:rsidR="007B7CBB" w:rsidRPr="00B71D90" w:rsidSect="00550D6B">
          <w:footnotePr>
            <w:numStart w:val="2"/>
          </w:footnotePr>
          <w:pgSz w:w="12240" w:h="15840" w:code="1"/>
          <w:pgMar w:top="1080" w:right="1080" w:bottom="1080" w:left="1440" w:header="720" w:footer="720" w:gutter="0"/>
          <w:cols w:space="720"/>
        </w:sectPr>
      </w:pPr>
    </w:p>
    <w:p w:rsidR="007B7CBB" w:rsidRPr="00B71D90" w:rsidRDefault="007B7CBB" w:rsidP="007B7CBB">
      <w:pPr>
        <w:pStyle w:val="Heading3"/>
        <w:pBdr>
          <w:top w:val="single" w:sz="4" w:space="2" w:color="auto"/>
          <w:bottom w:val="single" w:sz="4" w:space="2" w:color="auto"/>
        </w:pBdr>
        <w:spacing w:before="0"/>
      </w:pPr>
      <w:r w:rsidRPr="00B71D90">
        <w:lastRenderedPageBreak/>
        <w:t>IS 3.</w:t>
      </w:r>
      <w:r w:rsidR="005E2C78" w:rsidRPr="00B71D90">
        <w:t>0</w:t>
      </w:r>
      <w:r w:rsidR="005E2C78" w:rsidRPr="00B71D90">
        <w:tab/>
      </w:r>
      <w:r w:rsidRPr="00B71D90">
        <w:t>Practitioner Data</w:t>
      </w:r>
      <w:r w:rsidR="00CD13D8" w:rsidRPr="00B71D90">
        <w:t>—</w:t>
      </w:r>
      <w:r w:rsidRPr="00B71D90">
        <w:t>Data Capture, Transfer and Entry</w:t>
      </w:r>
    </w:p>
    <w:p w:rsidR="007B7CBB" w:rsidRPr="00B71D90" w:rsidRDefault="007B7CBB" w:rsidP="00571C1E">
      <w:pPr>
        <w:pStyle w:val="StdText"/>
        <w:spacing w:before="140"/>
        <w:ind w:left="720" w:hanging="720"/>
      </w:pPr>
      <w:r w:rsidRPr="00B71D90">
        <w:t>IS 3.1</w:t>
      </w:r>
      <w:r w:rsidRPr="00B71D90">
        <w:tab/>
        <w:t>Provider specialties are fully documented and mapped to provider specialties</w:t>
      </w:r>
      <w:r w:rsidR="002F0AA6" w:rsidRPr="00B71D90">
        <w:t xml:space="preserve"> necessary for measure re</w:t>
      </w:r>
      <w:r w:rsidR="00F55183" w:rsidRPr="00B71D90">
        <w:t>p</w:t>
      </w:r>
      <w:r w:rsidR="002F0AA6" w:rsidRPr="00B71D90">
        <w:t>orting</w:t>
      </w:r>
      <w:r w:rsidRPr="00B71D90">
        <w:t>.</w:t>
      </w:r>
    </w:p>
    <w:p w:rsidR="00BE4E8D" w:rsidRPr="00B71D90" w:rsidRDefault="00BE4E8D" w:rsidP="002F0935">
      <w:pPr>
        <w:pStyle w:val="Bullet-1"/>
      </w:pPr>
      <w:r w:rsidRPr="00B71D90">
        <w:t xml:space="preserve">Mapping documents show </w:t>
      </w:r>
      <w:r w:rsidR="00E418BE" w:rsidRPr="00B71D90">
        <w:t xml:space="preserve">that </w:t>
      </w:r>
      <w:r w:rsidRPr="00B71D90">
        <w:t xml:space="preserve">all nonstandard codes and code systems are identified and mapped according to the requirements in </w:t>
      </w:r>
      <w:r w:rsidR="00E418BE" w:rsidRPr="00B71D90">
        <w:t xml:space="preserve">the </w:t>
      </w:r>
      <w:r w:rsidR="002F0AA6" w:rsidRPr="00B71D90">
        <w:t>specifications</w:t>
      </w:r>
      <w:r w:rsidR="00070DE8">
        <w:t>.</w:t>
      </w:r>
    </w:p>
    <w:p w:rsidR="00BE4E8D" w:rsidRPr="00B71D90" w:rsidRDefault="00BE4E8D" w:rsidP="002F0935">
      <w:pPr>
        <w:pStyle w:val="Bullet-1"/>
      </w:pPr>
      <w:r w:rsidRPr="00B71D90">
        <w:t>Program code ensures that mapping documents are executed accurately</w:t>
      </w:r>
      <w:r w:rsidR="00070DE8">
        <w:t>.</w:t>
      </w:r>
    </w:p>
    <w:p w:rsidR="007B7CBB" w:rsidRPr="00B71D90" w:rsidRDefault="007B7CBB" w:rsidP="00CD13D8">
      <w:pPr>
        <w:pStyle w:val="StdText"/>
        <w:ind w:left="720" w:hanging="720"/>
      </w:pPr>
      <w:r w:rsidRPr="00B71D90">
        <w:t>IS 3.2</w:t>
      </w:r>
      <w:r w:rsidR="00CD13D8" w:rsidRPr="00B71D90">
        <w:tab/>
      </w:r>
      <w:r w:rsidRPr="00B71D90">
        <w:t xml:space="preserve">The organization has effective procedures for submitting </w:t>
      </w:r>
      <w:r w:rsidR="00981F87" w:rsidRPr="00B71D90">
        <w:t>measure</w:t>
      </w:r>
      <w:r w:rsidRPr="00B71D90">
        <w:t>-relevant information for data entry. Electronic transmission</w:t>
      </w:r>
      <w:r w:rsidR="00485294" w:rsidRPr="00B71D90">
        <w:t>s</w:t>
      </w:r>
      <w:r w:rsidRPr="00B71D90">
        <w:t xml:space="preserve"> of practitioner data </w:t>
      </w:r>
      <w:r w:rsidR="00485294" w:rsidRPr="00B71D90">
        <w:t>are</w:t>
      </w:r>
      <w:r w:rsidR="00027461" w:rsidRPr="00B71D90">
        <w:t xml:space="preserve"> checked</w:t>
      </w:r>
      <w:r w:rsidRPr="00B71D90">
        <w:t xml:space="preserve"> to ensure accuracy.</w:t>
      </w:r>
    </w:p>
    <w:p w:rsidR="007B7CBB" w:rsidRPr="00B71D90" w:rsidRDefault="007B7CBB" w:rsidP="002F0935">
      <w:pPr>
        <w:pStyle w:val="Bullet-1"/>
      </w:pPr>
      <w:r w:rsidRPr="00B71D90">
        <w:t>Policies, procedures, log forms and training</w:t>
      </w:r>
      <w:r w:rsidR="00BE4E8D" w:rsidRPr="00B71D90">
        <w:t xml:space="preserve"> manuals for data submission </w:t>
      </w:r>
      <w:r w:rsidRPr="00B71D90">
        <w:t xml:space="preserve">ensure accuracy and completeness and verify </w:t>
      </w:r>
      <w:r w:rsidR="00E418BE" w:rsidRPr="00B71D90">
        <w:t xml:space="preserve">that </w:t>
      </w:r>
      <w:r w:rsidRPr="00B71D90">
        <w:t>the organization has mechanisms for transferring information to the appropriate location within the organization</w:t>
      </w:r>
      <w:r w:rsidR="00070DE8">
        <w:t>.</w:t>
      </w:r>
    </w:p>
    <w:p w:rsidR="007B7CBB" w:rsidRPr="00B71D90" w:rsidRDefault="007B7CBB" w:rsidP="002F0935">
      <w:pPr>
        <w:pStyle w:val="Bullet-1"/>
      </w:pPr>
      <w:r w:rsidRPr="00B71D90">
        <w:t>Forms used to process practitioner additions, deletions and changes</w:t>
      </w:r>
      <w:r w:rsidR="00E418BE" w:rsidRPr="00B71D90">
        <w:t>—</w:t>
      </w:r>
      <w:r w:rsidRPr="00B71D90">
        <w:t>including samples of completed forms, policies, procedures and instructions for completing the forms</w:t>
      </w:r>
      <w:r w:rsidR="00E418BE" w:rsidRPr="00B71D90">
        <w:t>—</w:t>
      </w:r>
      <w:r w:rsidR="00BE4E8D" w:rsidRPr="00B71D90">
        <w:t>ensure</w:t>
      </w:r>
      <w:r w:rsidRPr="00B71D90">
        <w:t xml:space="preserve"> </w:t>
      </w:r>
      <w:r w:rsidR="00E418BE" w:rsidRPr="00B71D90">
        <w:t xml:space="preserve">that </w:t>
      </w:r>
      <w:r w:rsidRPr="00B71D90">
        <w:t xml:space="preserve">all fields relevant to </w:t>
      </w:r>
      <w:r w:rsidR="00981F87" w:rsidRPr="00B71D90">
        <w:t xml:space="preserve">measure </w:t>
      </w:r>
      <w:r w:rsidRPr="00B71D90">
        <w:t>reporting are included (</w:t>
      </w:r>
      <w:r w:rsidR="00E418BE" w:rsidRPr="00B71D90">
        <w:t xml:space="preserve">refer to </w:t>
      </w:r>
      <w:r w:rsidRPr="00B71D90">
        <w:t>R</w:t>
      </w:r>
      <w:r w:rsidR="009B63FC" w:rsidRPr="00B71D90">
        <w:t>oadmap</w:t>
      </w:r>
      <w:r w:rsidRPr="00B71D90">
        <w:t xml:space="preserve"> Table</w:t>
      </w:r>
      <w:r w:rsidR="00E418BE" w:rsidRPr="00B71D90">
        <w:t>s</w:t>
      </w:r>
      <w:r w:rsidRPr="00B71D90">
        <w:t xml:space="preserve"> 3A.2, 3B.3)</w:t>
      </w:r>
      <w:r w:rsidR="00070DE8">
        <w:t>.</w:t>
      </w:r>
    </w:p>
    <w:p w:rsidR="007B7CBB" w:rsidRPr="00B71D90" w:rsidRDefault="007B7CBB" w:rsidP="002F0935">
      <w:pPr>
        <w:pStyle w:val="Bullet-1"/>
      </w:pPr>
      <w:r w:rsidRPr="00B71D90">
        <w:t>Electronic file formats and protocols</w:t>
      </w:r>
      <w:r w:rsidR="00BE4E8D" w:rsidRPr="00B71D90">
        <w:t xml:space="preserve"> </w:t>
      </w:r>
      <w:r w:rsidRPr="00B71D90">
        <w:t xml:space="preserve">ensure </w:t>
      </w:r>
      <w:r w:rsidR="0069315A" w:rsidRPr="00B71D90">
        <w:t>capture of</w:t>
      </w:r>
      <w:r w:rsidR="00E418BE" w:rsidRPr="00B71D90">
        <w:t xml:space="preserve"> all data fields listed in Roadmap Tab</w:t>
      </w:r>
      <w:r w:rsidRPr="00B71D90">
        <w:t>le</w:t>
      </w:r>
      <w:r w:rsidR="00E418BE" w:rsidRPr="00B71D90">
        <w:t>s</w:t>
      </w:r>
      <w:r w:rsidRPr="00B71D90">
        <w:t xml:space="preserve"> 3A.2 and 3B.3</w:t>
      </w:r>
      <w:r w:rsidR="005774F3" w:rsidRPr="00B71D90">
        <w:t>, including credentialing dates</w:t>
      </w:r>
      <w:r w:rsidR="00070DE8">
        <w:t>.</w:t>
      </w:r>
    </w:p>
    <w:p w:rsidR="007B7CBB" w:rsidRPr="00B71D90" w:rsidRDefault="007B7CBB" w:rsidP="002F0935">
      <w:pPr>
        <w:pStyle w:val="Bullet-1"/>
      </w:pPr>
      <w:r w:rsidRPr="00B71D90">
        <w:t xml:space="preserve">Policies and procedures </w:t>
      </w:r>
      <w:r w:rsidR="00BE4E8D" w:rsidRPr="00B71D90">
        <w:t xml:space="preserve">for </w:t>
      </w:r>
      <w:r w:rsidR="00CA4521" w:rsidRPr="00B71D90">
        <w:t>submission</w:t>
      </w:r>
      <w:r w:rsidRPr="00B71D90">
        <w:t xml:space="preserve"> and transmission o</w:t>
      </w:r>
      <w:r w:rsidR="00BE4E8D" w:rsidRPr="00B71D90">
        <w:t>f electronic information</w:t>
      </w:r>
      <w:r w:rsidR="002021C0" w:rsidRPr="00B71D90">
        <w:t xml:space="preserve"> ensure</w:t>
      </w:r>
      <w:r w:rsidR="00E418BE" w:rsidRPr="00B71D90">
        <w:t>:</w:t>
      </w:r>
    </w:p>
    <w:p w:rsidR="007B7CBB" w:rsidRPr="00B71D90" w:rsidRDefault="00E418BE" w:rsidP="00CD13D8">
      <w:pPr>
        <w:pStyle w:val="Dash"/>
        <w:tabs>
          <w:tab w:val="clear" w:pos="792"/>
        </w:tabs>
        <w:ind w:left="1152"/>
      </w:pPr>
      <w:r w:rsidRPr="00B71D90">
        <w:t xml:space="preserve">The </w:t>
      </w:r>
      <w:r w:rsidR="007B7CBB" w:rsidRPr="00B71D90">
        <w:t>organization effectively monitors the quality and accuracy of its electronic submissions</w:t>
      </w:r>
      <w:r w:rsidR="00B8167D">
        <w:t>.</w:t>
      </w:r>
    </w:p>
    <w:p w:rsidR="007B7CBB" w:rsidRPr="00B71D90" w:rsidRDefault="00E418BE" w:rsidP="00CD13D8">
      <w:pPr>
        <w:pStyle w:val="Dash"/>
        <w:tabs>
          <w:tab w:val="clear" w:pos="792"/>
        </w:tabs>
        <w:ind w:left="1152"/>
      </w:pPr>
      <w:r w:rsidRPr="00B71D90">
        <w:t xml:space="preserve">Transmissions </w:t>
      </w:r>
      <w:r w:rsidR="007B7CBB" w:rsidRPr="00B71D90">
        <w:t>are properly controlled by logs, record count verification, redundancy checking receipts, retransmissions and sign-offs</w:t>
      </w:r>
      <w:r w:rsidR="00070DE8">
        <w:t>.</w:t>
      </w:r>
    </w:p>
    <w:p w:rsidR="007B7CBB" w:rsidRPr="00B71D90" w:rsidRDefault="007B7CBB" w:rsidP="00CD13D8">
      <w:pPr>
        <w:pStyle w:val="StdText"/>
        <w:ind w:left="720" w:hanging="720"/>
      </w:pPr>
      <w:r w:rsidRPr="00B71D90">
        <w:t>IS 3.3</w:t>
      </w:r>
      <w:r w:rsidRPr="00B71D90">
        <w:tab/>
        <w:t>Data entry processes are timely</w:t>
      </w:r>
      <w:r w:rsidR="00093FA8" w:rsidRPr="00B71D90">
        <w:t xml:space="preserve"> and accurate</w:t>
      </w:r>
      <w:r w:rsidRPr="00B71D90">
        <w:t xml:space="preserve"> and include edit checks to ensure accurate entry of submitted data in transaction files.</w:t>
      </w:r>
    </w:p>
    <w:p w:rsidR="007B7CBB" w:rsidRPr="00B71D90" w:rsidRDefault="007B7CBB" w:rsidP="002F0935">
      <w:pPr>
        <w:pStyle w:val="Bullet-1"/>
      </w:pPr>
      <w:r w:rsidRPr="00B71D90">
        <w:t>Standard monitoring reports for all provider operations personnel</w:t>
      </w:r>
      <w:r w:rsidR="0069315A" w:rsidRPr="00B71D90">
        <w:t>—</w:t>
      </w:r>
      <w:r w:rsidRPr="00B71D90">
        <w:t>including data entry, provider processing staff and hardware operations</w:t>
      </w:r>
      <w:r w:rsidR="0069315A" w:rsidRPr="00B71D90">
        <w:t>—</w:t>
      </w:r>
      <w:r w:rsidRPr="00B71D90">
        <w:t xml:space="preserve">verify </w:t>
      </w:r>
      <w:r w:rsidR="002021C0" w:rsidRPr="00B71D90">
        <w:t xml:space="preserve">that </w:t>
      </w:r>
      <w:r w:rsidRPr="00B71D90">
        <w:t>the organization effectively monitors the quality, accuracy, timeliness and productivity of its entry processes</w:t>
      </w:r>
      <w:r w:rsidR="00070DE8">
        <w:t>.</w:t>
      </w:r>
    </w:p>
    <w:p w:rsidR="007B7CBB" w:rsidRPr="00B71D90" w:rsidRDefault="007B7CBB" w:rsidP="002F0935">
      <w:pPr>
        <w:pStyle w:val="Bullet-1"/>
      </w:pPr>
      <w:r w:rsidRPr="00B71D90">
        <w:t>Flowcharts</w:t>
      </w:r>
      <w:r w:rsidR="00027461" w:rsidRPr="00B71D90">
        <w:t xml:space="preserve"> </w:t>
      </w:r>
      <w:r w:rsidRPr="00B71D90">
        <w:t>describe provider processing from all sources (</w:t>
      </w:r>
      <w:r w:rsidR="00A11220" w:rsidRPr="00B71D90">
        <w:t xml:space="preserve">refer to </w:t>
      </w:r>
      <w:r w:rsidRPr="00B71D90">
        <w:t>R</w:t>
      </w:r>
      <w:r w:rsidR="009B63FC" w:rsidRPr="00B71D90">
        <w:t>oadmap</w:t>
      </w:r>
      <w:r w:rsidRPr="00B71D90">
        <w:t xml:space="preserve"> </w:t>
      </w:r>
      <w:r w:rsidR="00A11220" w:rsidRPr="00B71D90">
        <w:t>A</w:t>
      </w:r>
      <w:r w:rsidRPr="00B71D90">
        <w:t>ttachment</w:t>
      </w:r>
      <w:r w:rsidR="00F55183" w:rsidRPr="00B71D90">
        <w:t>s</w:t>
      </w:r>
      <w:r w:rsidRPr="00B71D90">
        <w:t xml:space="preserve"> </w:t>
      </w:r>
      <w:r w:rsidR="00286A96">
        <w:br/>
      </w:r>
      <w:r w:rsidRPr="00B71D90">
        <w:t>3A.1, 3B.2)</w:t>
      </w:r>
      <w:r w:rsidR="00070DE8">
        <w:t>.</w:t>
      </w:r>
    </w:p>
    <w:p w:rsidR="007B7CBB" w:rsidRPr="00B71D90" w:rsidRDefault="007B7CBB" w:rsidP="002F0935">
      <w:pPr>
        <w:pStyle w:val="Bullet-1"/>
      </w:pPr>
      <w:r w:rsidRPr="00B71D90">
        <w:t>Data entry processors enter all required data elements (</w:t>
      </w:r>
      <w:r w:rsidR="00A11220" w:rsidRPr="00B71D90">
        <w:t xml:space="preserve">refer to </w:t>
      </w:r>
      <w:r w:rsidRPr="00B71D90">
        <w:t>R</w:t>
      </w:r>
      <w:r w:rsidR="009B63FC" w:rsidRPr="00B71D90">
        <w:t>oadmap</w:t>
      </w:r>
      <w:r w:rsidRPr="00B71D90">
        <w:t xml:space="preserve"> Table</w:t>
      </w:r>
      <w:r w:rsidR="00A11220" w:rsidRPr="00B71D90">
        <w:t>s</w:t>
      </w:r>
      <w:r w:rsidRPr="00B71D90">
        <w:t xml:space="preserve"> 3A.2, 3B.3) in both the claims processing system and the provider credentialing system</w:t>
      </w:r>
      <w:r w:rsidR="00070DE8">
        <w:t>.</w:t>
      </w:r>
    </w:p>
    <w:p w:rsidR="007B7CBB" w:rsidRPr="00B71D90" w:rsidRDefault="00027461" w:rsidP="002F0935">
      <w:pPr>
        <w:pStyle w:val="Bullet-1"/>
      </w:pPr>
      <w:r w:rsidRPr="00B71D90">
        <w:t>Data entry p</w:t>
      </w:r>
      <w:r w:rsidR="007B7CBB" w:rsidRPr="00B71D90">
        <w:t>olicies and procedures and tr</w:t>
      </w:r>
      <w:r w:rsidR="00BE4E8D" w:rsidRPr="00B71D90">
        <w:t>aining manuals en</w:t>
      </w:r>
      <w:r w:rsidR="007B7CBB" w:rsidRPr="00B71D90">
        <w:t>sure accuracy and completeness</w:t>
      </w:r>
      <w:r w:rsidR="00070DE8">
        <w:t>.</w:t>
      </w:r>
    </w:p>
    <w:p w:rsidR="007B7CBB" w:rsidRPr="00B71D90" w:rsidRDefault="007B7CBB" w:rsidP="002F0935">
      <w:pPr>
        <w:pStyle w:val="Bullet-1"/>
      </w:pPr>
      <w:r w:rsidRPr="00B71D90">
        <w:t xml:space="preserve">Provider claims processing and provider credentialing data entry </w:t>
      </w:r>
      <w:r w:rsidR="00A11220" w:rsidRPr="00B71D90">
        <w:t>screens</w:t>
      </w:r>
      <w:r w:rsidR="00130EC6" w:rsidRPr="00B71D90">
        <w:t xml:space="preserve"> have</w:t>
      </w:r>
      <w:r w:rsidR="00A11220" w:rsidRPr="00B71D90">
        <w:t>:</w:t>
      </w:r>
    </w:p>
    <w:p w:rsidR="007B7CBB" w:rsidRPr="00B71D90" w:rsidRDefault="00130EC6" w:rsidP="00CD13D8">
      <w:pPr>
        <w:pStyle w:val="Dash"/>
        <w:tabs>
          <w:tab w:val="clear" w:pos="792"/>
        </w:tabs>
        <w:ind w:left="1152"/>
      </w:pPr>
      <w:r w:rsidRPr="00B71D90">
        <w:t>P</w:t>
      </w:r>
      <w:r w:rsidR="00BE4E8D" w:rsidRPr="00B71D90">
        <w:t xml:space="preserve">roper edit checks for </w:t>
      </w:r>
      <w:r w:rsidR="007B7CBB" w:rsidRPr="00B71D90">
        <w:t>parity checks, field sizes, date ranges, cross checks with claims/</w:t>
      </w:r>
      <w:r w:rsidR="00A11220" w:rsidRPr="00B71D90">
        <w:t xml:space="preserve"> </w:t>
      </w:r>
      <w:r w:rsidR="007B7CBB" w:rsidRPr="00B71D90">
        <w:t>encounter and</w:t>
      </w:r>
      <w:r w:rsidR="00BE4E8D" w:rsidRPr="00B71D90">
        <w:t xml:space="preserve"> practitioner file, code ranges and</w:t>
      </w:r>
      <w:r w:rsidR="007B7CBB" w:rsidRPr="00B71D90">
        <w:t xml:space="preserve"> practitioner services by specialty</w:t>
      </w:r>
      <w:r w:rsidR="00B8167D">
        <w:t>.</w:t>
      </w:r>
    </w:p>
    <w:p w:rsidR="007B7CBB" w:rsidRPr="00B71D90" w:rsidRDefault="00A11220" w:rsidP="00CD13D8">
      <w:pPr>
        <w:pStyle w:val="Dash"/>
        <w:tabs>
          <w:tab w:val="clear" w:pos="792"/>
        </w:tabs>
        <w:ind w:left="1152"/>
      </w:pPr>
      <w:r w:rsidRPr="00B71D90">
        <w:t>A</w:t>
      </w:r>
      <w:r w:rsidR="007B7CBB" w:rsidRPr="00B71D90">
        <w:t xml:space="preserve">ll data fields listed in the Roadmap </w:t>
      </w:r>
      <w:r w:rsidR="009B63FC" w:rsidRPr="00B71D90">
        <w:t>(</w:t>
      </w:r>
      <w:r w:rsidRPr="00B71D90">
        <w:t xml:space="preserve">refer to </w:t>
      </w:r>
      <w:r w:rsidR="00B23343">
        <w:t xml:space="preserve">Roadmap </w:t>
      </w:r>
      <w:r w:rsidR="007B7CBB" w:rsidRPr="00B71D90">
        <w:t>Table</w:t>
      </w:r>
      <w:r w:rsidR="007C561B" w:rsidRPr="00B71D90">
        <w:t>s</w:t>
      </w:r>
      <w:r w:rsidR="007B7CBB" w:rsidRPr="00B71D90">
        <w:t xml:space="preserve"> 3A.2, 3B.3</w:t>
      </w:r>
      <w:r w:rsidR="009B63FC" w:rsidRPr="00B71D90">
        <w:t>)</w:t>
      </w:r>
      <w:r w:rsidR="00070DE8">
        <w:t>.</w:t>
      </w:r>
    </w:p>
    <w:p w:rsidR="007B7CBB" w:rsidRPr="00B71D90" w:rsidRDefault="007B7CBB" w:rsidP="002F0935">
      <w:pPr>
        <w:pStyle w:val="Bullet-1"/>
      </w:pPr>
      <w:r w:rsidRPr="00B71D90">
        <w:t xml:space="preserve">Data transaction files and provider credentialing files </w:t>
      </w:r>
      <w:r w:rsidR="00BE4E8D" w:rsidRPr="00B71D90">
        <w:t>are</w:t>
      </w:r>
      <w:r w:rsidRPr="00B71D90">
        <w:t xml:space="preserve"> a</w:t>
      </w:r>
      <w:r w:rsidR="00BE4E8D" w:rsidRPr="00B71D90">
        <w:t>ccurate</w:t>
      </w:r>
      <w:r w:rsidRPr="00B71D90">
        <w:t>, including</w:t>
      </w:r>
      <w:r w:rsidR="00A11220" w:rsidRPr="00B71D90">
        <w:t>:</w:t>
      </w:r>
    </w:p>
    <w:p w:rsidR="00A11220" w:rsidRPr="00B71D90" w:rsidRDefault="00027461" w:rsidP="00A11220">
      <w:pPr>
        <w:pStyle w:val="Dash"/>
        <w:tabs>
          <w:tab w:val="clear" w:pos="792"/>
        </w:tabs>
        <w:ind w:left="1152"/>
      </w:pPr>
      <w:r w:rsidRPr="00B71D90">
        <w:t>C</w:t>
      </w:r>
      <w:r w:rsidR="00A11220" w:rsidRPr="00B71D90">
        <w:t>omparison of a sample of data</w:t>
      </w:r>
      <w:r w:rsidR="00D1207A" w:rsidRPr="00B71D90">
        <w:t xml:space="preserve"> </w:t>
      </w:r>
      <w:r w:rsidR="00A11220" w:rsidRPr="00B71D90">
        <w:t>entry files with source documents to ensure that all data are entered and that data are not changed or deleted during processing</w:t>
      </w:r>
      <w:r w:rsidR="00B8167D">
        <w:t>.</w:t>
      </w:r>
    </w:p>
    <w:p w:rsidR="00A11220" w:rsidRPr="00B71D90" w:rsidRDefault="00027461" w:rsidP="00A11220">
      <w:pPr>
        <w:pStyle w:val="Dash"/>
        <w:tabs>
          <w:tab w:val="clear" w:pos="792"/>
        </w:tabs>
        <w:ind w:left="1152"/>
        <w:sectPr w:rsidR="00A11220" w:rsidRPr="00B71D90" w:rsidSect="00550D6B">
          <w:footnotePr>
            <w:numStart w:val="2"/>
          </w:footnotePr>
          <w:pgSz w:w="12240" w:h="15840" w:code="1"/>
          <w:pgMar w:top="1080" w:right="1080" w:bottom="1080" w:left="1440" w:header="720" w:footer="720" w:gutter="0"/>
          <w:cols w:space="720"/>
        </w:sectPr>
      </w:pPr>
      <w:r w:rsidRPr="00B71D90">
        <w:t>C</w:t>
      </w:r>
      <w:r w:rsidR="00A11220" w:rsidRPr="00B71D90">
        <w:t>omparison of a sample of electronically transmitted files with source documents to ensure that all data are transmitted and that data are not changed or deleted during processing</w:t>
      </w:r>
      <w:r w:rsidR="00070DE8">
        <w:t>.</w:t>
      </w:r>
    </w:p>
    <w:p w:rsidR="007B7CBB" w:rsidRPr="00B71D90" w:rsidRDefault="007B7CBB" w:rsidP="00A11220">
      <w:pPr>
        <w:pStyle w:val="StdText"/>
        <w:spacing w:before="0"/>
        <w:ind w:left="720" w:hanging="720"/>
      </w:pPr>
      <w:r w:rsidRPr="00B71D90">
        <w:lastRenderedPageBreak/>
        <w:t>IS 3.4</w:t>
      </w:r>
      <w:r w:rsidRPr="00B71D90">
        <w:tab/>
        <w:t xml:space="preserve">The organization </w:t>
      </w:r>
      <w:r w:rsidR="00027461" w:rsidRPr="00B71D90">
        <w:t xml:space="preserve">continually </w:t>
      </w:r>
      <w:r w:rsidRPr="00B71D90">
        <w:t>assesses data completeness and takes steps to improve performance</w:t>
      </w:r>
      <w:r w:rsidR="000B23DD" w:rsidRPr="00B71D90">
        <w:t>.</w:t>
      </w:r>
    </w:p>
    <w:p w:rsidR="007B7CBB" w:rsidRPr="00B71D90" w:rsidRDefault="007B7CBB" w:rsidP="00E80122">
      <w:pPr>
        <w:pStyle w:val="Bullet-1"/>
      </w:pPr>
      <w:r w:rsidRPr="00B71D90">
        <w:t>Policies, procedures and performance standards require</w:t>
      </w:r>
      <w:r w:rsidR="00A11220" w:rsidRPr="00B71D90">
        <w:t>:</w:t>
      </w:r>
      <w:r w:rsidRPr="00B71D90">
        <w:t xml:space="preserve"> </w:t>
      </w:r>
    </w:p>
    <w:p w:rsidR="007B7CBB" w:rsidRPr="00B71D90" w:rsidRDefault="00A11220" w:rsidP="00CD13D8">
      <w:pPr>
        <w:pStyle w:val="Dash"/>
        <w:tabs>
          <w:tab w:val="clear" w:pos="792"/>
        </w:tabs>
        <w:ind w:left="1152"/>
      </w:pPr>
      <w:r w:rsidRPr="00B71D90">
        <w:t>C</w:t>
      </w:r>
      <w:r w:rsidR="007B7CBB" w:rsidRPr="00B71D90">
        <w:t>omplete submission and entry of provider data</w:t>
      </w:r>
      <w:r w:rsidR="00B8167D">
        <w:t>.</w:t>
      </w:r>
    </w:p>
    <w:p w:rsidR="007B7CBB" w:rsidRPr="00B71D90" w:rsidRDefault="00027461" w:rsidP="00CD13D8">
      <w:pPr>
        <w:pStyle w:val="Dash"/>
        <w:tabs>
          <w:tab w:val="clear" w:pos="792"/>
        </w:tabs>
        <w:ind w:left="1152"/>
      </w:pPr>
      <w:r w:rsidRPr="00B71D90">
        <w:t>Proper control of t</w:t>
      </w:r>
      <w:r w:rsidR="007B7CBB" w:rsidRPr="00B71D90">
        <w:t xml:space="preserve">ransmissions </w:t>
      </w:r>
      <w:r w:rsidRPr="00B71D90">
        <w:t>through</w:t>
      </w:r>
      <w:r w:rsidR="007B7CBB" w:rsidRPr="00B71D90">
        <w:t xml:space="preserve"> logs, record count verification, redundancy checking receipts</w:t>
      </w:r>
      <w:r w:rsidR="001B73F9" w:rsidRPr="00B71D90">
        <w:t>, retransmissions and sign-offs</w:t>
      </w:r>
      <w:r w:rsidR="00070DE8">
        <w:t>.</w:t>
      </w:r>
    </w:p>
    <w:p w:rsidR="007B7CBB" w:rsidRPr="00B71D90" w:rsidRDefault="007B7CBB" w:rsidP="00E80122">
      <w:pPr>
        <w:pStyle w:val="Bullet-1"/>
      </w:pPr>
      <w:r w:rsidRPr="00B71D90">
        <w:t>Policies, procedures and performance standards</w:t>
      </w:r>
      <w:r w:rsidR="00A11220" w:rsidRPr="00B71D90">
        <w:t xml:space="preserve"> require reconciliation of data:</w:t>
      </w:r>
      <w:r w:rsidRPr="00B71D90">
        <w:t xml:space="preserve"> </w:t>
      </w:r>
    </w:p>
    <w:p w:rsidR="007B7CBB" w:rsidRPr="00B71D90" w:rsidRDefault="00A11220" w:rsidP="00CD13D8">
      <w:pPr>
        <w:pStyle w:val="Dash"/>
        <w:tabs>
          <w:tab w:val="clear" w:pos="792"/>
        </w:tabs>
        <w:ind w:left="1152"/>
      </w:pPr>
      <w:r w:rsidRPr="00B71D90">
        <w:t>B</w:t>
      </w:r>
      <w:r w:rsidR="007B7CBB" w:rsidRPr="00B71D90">
        <w:t>etween the credentialing and claims processing systems</w:t>
      </w:r>
      <w:r w:rsidR="00B8167D">
        <w:t>.</w:t>
      </w:r>
    </w:p>
    <w:p w:rsidR="007B7CBB" w:rsidRPr="00B71D90" w:rsidRDefault="00A11220" w:rsidP="00CD13D8">
      <w:pPr>
        <w:pStyle w:val="Dash"/>
        <w:tabs>
          <w:tab w:val="clear" w:pos="792"/>
        </w:tabs>
        <w:ind w:left="1152"/>
      </w:pPr>
      <w:r w:rsidRPr="00B71D90">
        <w:t>B</w:t>
      </w:r>
      <w:r w:rsidR="007B7CBB" w:rsidRPr="00B71D90">
        <w:t>etween the credentialing and the claims processing systems used by external entities</w:t>
      </w:r>
      <w:r w:rsidR="00070DE8">
        <w:t>.</w:t>
      </w:r>
    </w:p>
    <w:p w:rsidR="007B7CBB" w:rsidRPr="00B71D90" w:rsidRDefault="007B7CBB" w:rsidP="009301D8">
      <w:pPr>
        <w:pStyle w:val="StdText"/>
        <w:ind w:left="720" w:hanging="720"/>
      </w:pPr>
      <w:r w:rsidRPr="00B71D90">
        <w:t>IS 3.</w:t>
      </w:r>
      <w:r w:rsidR="003045C3" w:rsidRPr="00B71D90">
        <w:t>5</w:t>
      </w:r>
      <w:r w:rsidRPr="00B71D90">
        <w:tab/>
        <w:t>The organization regularly monitors vendor performance against expect</w:t>
      </w:r>
      <w:r w:rsidR="008A2D4C" w:rsidRPr="00B71D90">
        <w:t>ed</w:t>
      </w:r>
      <w:r w:rsidRPr="00B71D90">
        <w:t xml:space="preserve"> performance standards</w:t>
      </w:r>
      <w:r w:rsidR="000B23DD" w:rsidRPr="00B71D90">
        <w:t>.</w:t>
      </w:r>
    </w:p>
    <w:p w:rsidR="00A11220" w:rsidRPr="00B71D90" w:rsidRDefault="00A11220" w:rsidP="00E80122">
      <w:pPr>
        <w:pStyle w:val="Bullet-1"/>
      </w:pPr>
      <w:r w:rsidRPr="00B71D90">
        <w:t xml:space="preserve">Contracts with vendors require data for </w:t>
      </w:r>
      <w:r w:rsidR="00981F87" w:rsidRPr="00B71D90">
        <w:t xml:space="preserve">measure </w:t>
      </w:r>
      <w:r w:rsidRPr="00B71D90">
        <w:t>reporting and provide inspection and onsite auditing of data; correction and resubmission of data and backlog control standards and procedures; and enforce quality standards</w:t>
      </w:r>
      <w:r w:rsidR="00070DE8">
        <w:t>.</w:t>
      </w:r>
    </w:p>
    <w:p w:rsidR="007B7CBB" w:rsidRPr="00B71D90" w:rsidRDefault="007B7CBB" w:rsidP="00E80122">
      <w:pPr>
        <w:pStyle w:val="Bullet-1"/>
      </w:pPr>
      <w:r w:rsidRPr="00B71D90">
        <w:t xml:space="preserve">Studies and reports </w:t>
      </w:r>
      <w:r w:rsidR="001B73F9" w:rsidRPr="00B71D90">
        <w:t>show that</w:t>
      </w:r>
      <w:r w:rsidR="00A11220" w:rsidRPr="00B71D90">
        <w:t>:</w:t>
      </w:r>
    </w:p>
    <w:p w:rsidR="007B7CBB" w:rsidRPr="00B71D90" w:rsidRDefault="00A11220" w:rsidP="00CD13D8">
      <w:pPr>
        <w:pStyle w:val="Dash"/>
        <w:tabs>
          <w:tab w:val="clear" w:pos="792"/>
        </w:tabs>
        <w:ind w:left="1152"/>
      </w:pPr>
      <w:r w:rsidRPr="00B71D90">
        <w:t>P</w:t>
      </w:r>
      <w:r w:rsidR="007B7CBB" w:rsidRPr="00B71D90">
        <w:t>ractitioner</w:t>
      </w:r>
      <w:r w:rsidR="00EF4859" w:rsidRPr="00B71D90">
        <w:t>-</w:t>
      </w:r>
      <w:r w:rsidR="007B7CBB" w:rsidRPr="00B71D90">
        <w:t xml:space="preserve">level data from vendors </w:t>
      </w:r>
      <w:r w:rsidR="009301D8" w:rsidRPr="00B71D90">
        <w:t xml:space="preserve">are </w:t>
      </w:r>
      <w:r w:rsidR="007B7CBB" w:rsidRPr="00B71D90">
        <w:t>complete and accurate</w:t>
      </w:r>
      <w:r w:rsidR="00B8167D">
        <w:t>.</w:t>
      </w:r>
    </w:p>
    <w:p w:rsidR="007B7CBB" w:rsidRPr="00B71D90" w:rsidRDefault="00A11220" w:rsidP="00CD13D8">
      <w:pPr>
        <w:pStyle w:val="Dash"/>
        <w:tabs>
          <w:tab w:val="clear" w:pos="792"/>
        </w:tabs>
        <w:ind w:left="1152"/>
      </w:pPr>
      <w:r w:rsidRPr="00B71D90">
        <w:t>N</w:t>
      </w:r>
      <w:r w:rsidR="007B7CBB" w:rsidRPr="00B71D90">
        <w:t xml:space="preserve">o data </w:t>
      </w:r>
      <w:r w:rsidRPr="00B71D90">
        <w:t>are</w:t>
      </w:r>
      <w:r w:rsidR="007B7CBB" w:rsidRPr="00B71D90">
        <w:t xml:space="preserve"> lost or modified during transfer</w:t>
      </w:r>
      <w:r w:rsidR="00070DE8">
        <w:t>.</w:t>
      </w:r>
    </w:p>
    <w:p w:rsidR="007B7CBB" w:rsidRPr="00B71D90" w:rsidRDefault="007B7CBB" w:rsidP="007B7CBB">
      <w:pPr>
        <w:pStyle w:val="StdHead"/>
        <w:rPr>
          <w:color w:val="auto"/>
        </w:rPr>
      </w:pPr>
      <w:r w:rsidRPr="00B71D90">
        <w:rPr>
          <w:color w:val="auto"/>
        </w:rPr>
        <w:t>Software Certification</w:t>
      </w:r>
    </w:p>
    <w:p w:rsidR="007B7CBB" w:rsidRPr="00B71D90" w:rsidRDefault="007B7CBB" w:rsidP="007B7CBB">
      <w:pPr>
        <w:pStyle w:val="Body"/>
      </w:pPr>
      <w:r w:rsidRPr="00B71D90">
        <w:t>The auditor is required to assess compliance with this standard. No item is affected by software certification.</w:t>
      </w:r>
    </w:p>
    <w:p w:rsidR="007B7CBB" w:rsidRPr="00B71D90" w:rsidRDefault="007B7CBB" w:rsidP="007B7CBB">
      <w:pPr>
        <w:pStyle w:val="Body"/>
      </w:pPr>
    </w:p>
    <w:p w:rsidR="007B7CBB" w:rsidRPr="00B71D90" w:rsidRDefault="007B7CBB" w:rsidP="007B7CBB">
      <w:pPr>
        <w:pStyle w:val="Body"/>
        <w:sectPr w:rsidR="007B7CBB" w:rsidRPr="00B71D90" w:rsidSect="00550D6B">
          <w:footnotePr>
            <w:numStart w:val="2"/>
          </w:footnotePr>
          <w:pgSz w:w="12240" w:h="15840" w:code="1"/>
          <w:pgMar w:top="1080" w:right="1080" w:bottom="1080" w:left="1440" w:header="720" w:footer="720" w:gutter="0"/>
          <w:cols w:space="720"/>
        </w:sectPr>
      </w:pPr>
    </w:p>
    <w:p w:rsidR="007B7CBB" w:rsidRPr="00B71D90" w:rsidRDefault="0087692E" w:rsidP="007B7CBB">
      <w:pPr>
        <w:pStyle w:val="Heading3"/>
        <w:pBdr>
          <w:top w:val="single" w:sz="4" w:space="2" w:color="auto"/>
          <w:bottom w:val="single" w:sz="4" w:space="2" w:color="auto"/>
        </w:pBdr>
        <w:spacing w:before="0"/>
      </w:pPr>
      <w:r w:rsidRPr="00B71D90">
        <w:lastRenderedPageBreak/>
        <w:t>IS 4.0</w:t>
      </w:r>
      <w:r w:rsidRPr="00B71D90">
        <w:tab/>
        <w:t>Medical Record Review Processes—Training, Sampling, Abstraction and Oversight</w:t>
      </w:r>
    </w:p>
    <w:p w:rsidR="007B7CBB" w:rsidRPr="00286A96" w:rsidRDefault="0087692E" w:rsidP="00571C1E">
      <w:pPr>
        <w:pStyle w:val="StdText"/>
        <w:spacing w:before="140"/>
        <w:ind w:left="720" w:hanging="720"/>
      </w:pPr>
      <w:r w:rsidRPr="00B71D90">
        <w:t>IS 4.1</w:t>
      </w:r>
      <w:r w:rsidRPr="00B71D90">
        <w:rPr>
          <w:b w:val="0"/>
        </w:rPr>
        <w:tab/>
      </w:r>
      <w:r w:rsidRPr="00286A96">
        <w:t>Forms capture all fields relevant to measure reporting. Electronic transmission procedures conform to industry standards and have necessary checking procedures to ensure data accuracy (logs, counts, receipts, hand-off and sign-off).</w:t>
      </w:r>
    </w:p>
    <w:p w:rsidR="007B7CBB" w:rsidRPr="00B71D90" w:rsidRDefault="0087692E" w:rsidP="00E80122">
      <w:pPr>
        <w:pStyle w:val="Bullet-1"/>
      </w:pPr>
      <w:r w:rsidRPr="00B71D90">
        <w:t>Forms or tools used for medical record review—including samples of completed forms, policies, procedures and instructions for completing the forms—ensure:</w:t>
      </w:r>
    </w:p>
    <w:p w:rsidR="007B7CBB" w:rsidRPr="00B71D90" w:rsidRDefault="0087692E" w:rsidP="00CD13D8">
      <w:pPr>
        <w:pStyle w:val="Dash"/>
        <w:tabs>
          <w:tab w:val="clear" w:pos="792"/>
        </w:tabs>
        <w:ind w:left="1152"/>
      </w:pPr>
      <w:r w:rsidRPr="00B71D90">
        <w:t>All fields relevant to measure reporting are included (refer to Roadmap Attachment 4.3)</w:t>
      </w:r>
      <w:r w:rsidR="00B8167D">
        <w:t>.</w:t>
      </w:r>
    </w:p>
    <w:p w:rsidR="007B7CBB" w:rsidRPr="00B71D90" w:rsidRDefault="0087692E" w:rsidP="00CD13D8">
      <w:pPr>
        <w:pStyle w:val="Dash"/>
        <w:tabs>
          <w:tab w:val="clear" w:pos="792"/>
        </w:tabs>
        <w:ind w:left="1152"/>
      </w:pPr>
      <w:r w:rsidRPr="00B71D90">
        <w:t>Forms guide the reviewer to the medical record data elements</w:t>
      </w:r>
      <w:r w:rsidR="00070DE8">
        <w:t>.</w:t>
      </w:r>
    </w:p>
    <w:p w:rsidR="007B7CBB" w:rsidRPr="00B71D90" w:rsidRDefault="0087692E" w:rsidP="00E80122">
      <w:pPr>
        <w:pStyle w:val="Bullet-1"/>
      </w:pPr>
      <w:r w:rsidRPr="00B71D90">
        <w:t>Electronic file formats and protocols ensure that all data fields are captured for each measure</w:t>
      </w:r>
      <w:r w:rsidR="00070DE8">
        <w:t>.</w:t>
      </w:r>
    </w:p>
    <w:p w:rsidR="007B7CBB" w:rsidRPr="00B71D90" w:rsidRDefault="0087692E" w:rsidP="00E80122">
      <w:pPr>
        <w:pStyle w:val="Bullet-1"/>
      </w:pPr>
      <w:r w:rsidRPr="00B71D90">
        <w:t>Policies, procedures and program code for files used to transfer administrative data to the medical record review tools are complete and available</w:t>
      </w:r>
      <w:r w:rsidR="00070DE8">
        <w:t>.</w:t>
      </w:r>
    </w:p>
    <w:p w:rsidR="007B7CBB" w:rsidRPr="00B71D90" w:rsidRDefault="0087692E" w:rsidP="00E80122">
      <w:pPr>
        <w:pStyle w:val="Bullet-1"/>
      </w:pPr>
      <w:r w:rsidRPr="00B71D90">
        <w:t>Policies and procedures for submission and transmission of electronic information show:</w:t>
      </w:r>
    </w:p>
    <w:p w:rsidR="007B7CBB" w:rsidRPr="00B71D90" w:rsidRDefault="0087692E" w:rsidP="00CD13D8">
      <w:pPr>
        <w:pStyle w:val="Dash"/>
        <w:tabs>
          <w:tab w:val="clear" w:pos="792"/>
        </w:tabs>
        <w:ind w:left="1152"/>
      </w:pPr>
      <w:r w:rsidRPr="00B71D90">
        <w:t>The organization effectively monitors the quality and accuracy of its electronic submissions</w:t>
      </w:r>
      <w:r w:rsidR="00B8167D">
        <w:t>.</w:t>
      </w:r>
    </w:p>
    <w:p w:rsidR="007B7CBB" w:rsidRPr="00B71D90" w:rsidRDefault="0087692E" w:rsidP="00CD13D8">
      <w:pPr>
        <w:pStyle w:val="Dash"/>
        <w:tabs>
          <w:tab w:val="clear" w:pos="792"/>
        </w:tabs>
        <w:ind w:left="1152"/>
      </w:pPr>
      <w:r w:rsidRPr="00B71D90">
        <w:t>Transmissions are properly controlled by logs, record count verification, redundancy checking receipts, retransmissions and sign-offs</w:t>
      </w:r>
      <w:r w:rsidR="00070DE8">
        <w:t>.</w:t>
      </w:r>
    </w:p>
    <w:p w:rsidR="007B7CBB" w:rsidRPr="00B71D90" w:rsidRDefault="0087692E" w:rsidP="009301D8">
      <w:pPr>
        <w:pStyle w:val="StdText"/>
        <w:ind w:left="720" w:hanging="720"/>
      </w:pPr>
      <w:r w:rsidRPr="00B71D90">
        <w:t>IS 4.2</w:t>
      </w:r>
      <w:r w:rsidRPr="00B71D90">
        <w:tab/>
        <w:t>Retrieval and abstraction of data from medical records is reliably and accurately performed.</w:t>
      </w:r>
    </w:p>
    <w:p w:rsidR="007B7CBB" w:rsidRPr="00B71D90" w:rsidRDefault="0087692E" w:rsidP="00E80122">
      <w:pPr>
        <w:pStyle w:val="Bullet-1"/>
      </w:pPr>
      <w:r w:rsidRPr="00B71D90">
        <w:t>Policies, procedures, and training manuals (refer to Roadmap Attachment 4.4) for medical record review—including chase logic and chart retrieval—ensure accuracy and completeness and verify that the organization has mechanisms for transferring information to the appropriate location within the organization</w:t>
      </w:r>
      <w:r w:rsidR="00070DE8">
        <w:t>.</w:t>
      </w:r>
    </w:p>
    <w:p w:rsidR="007B7CBB" w:rsidRPr="00B71D90" w:rsidRDefault="0087692E" w:rsidP="00E80122">
      <w:pPr>
        <w:pStyle w:val="Bullet-1"/>
      </w:pPr>
      <w:r w:rsidRPr="00B71D90">
        <w:t>Educational and professional credentials, including resumes or curriculum vitae, and experience of the med</w:t>
      </w:r>
      <w:r w:rsidR="00070DE8">
        <w:t>ical record review team members.</w:t>
      </w:r>
    </w:p>
    <w:p w:rsidR="007B7CBB" w:rsidRPr="00B71D90" w:rsidRDefault="0087692E" w:rsidP="00E80122">
      <w:pPr>
        <w:pStyle w:val="Bullet-1"/>
      </w:pPr>
      <w:r w:rsidRPr="00B71D90">
        <w:t>Interrater reliability standards and results ensure medical record review is accurate and complete (refer to Roadmap Attachment 4.5)</w:t>
      </w:r>
      <w:r w:rsidR="00070DE8">
        <w:t>.</w:t>
      </w:r>
    </w:p>
    <w:p w:rsidR="007B7CBB" w:rsidRPr="00B71D90" w:rsidRDefault="0087692E" w:rsidP="009301D8">
      <w:pPr>
        <w:pStyle w:val="StdText"/>
        <w:ind w:left="720" w:hanging="720"/>
      </w:pPr>
      <w:r w:rsidRPr="00B71D90">
        <w:t>IS 4.3</w:t>
      </w:r>
      <w:r w:rsidRPr="00B71D90">
        <w:tab/>
        <w:t>Data entry processes are timely and accurate and include sufficient edit checks to ensure accurate entry of submitted data in the files for measure reporting.</w:t>
      </w:r>
    </w:p>
    <w:p w:rsidR="007B7CBB" w:rsidRPr="00B71D90" w:rsidRDefault="0087692E" w:rsidP="00E80122">
      <w:pPr>
        <w:pStyle w:val="Bullet-1"/>
      </w:pPr>
      <w:r w:rsidRPr="00B71D90">
        <w:t>Standard monitoring reports for all data entry operations personnel verify that the organization effectively monitors the quality, accuracy, timeliness and productivity of its entry processes (refer to Roadmap Attachment 4.5)</w:t>
      </w:r>
      <w:r w:rsidR="00070DE8">
        <w:t>.</w:t>
      </w:r>
    </w:p>
    <w:p w:rsidR="007B7CBB" w:rsidRPr="00B71D90" w:rsidRDefault="0087692E" w:rsidP="00E80122">
      <w:pPr>
        <w:pStyle w:val="Bullet-1"/>
      </w:pPr>
      <w:r w:rsidRPr="00B71D90">
        <w:t>Flowcharts and timelines describe medical record review processing from all sources (refer to Roadmap Attachments 4.1, 4.2)</w:t>
      </w:r>
      <w:r w:rsidR="00070DE8">
        <w:t>.</w:t>
      </w:r>
    </w:p>
    <w:p w:rsidR="007B7CBB" w:rsidRPr="00B71D90" w:rsidRDefault="0087692E" w:rsidP="00E80122">
      <w:pPr>
        <w:pStyle w:val="Bullet-1"/>
      </w:pPr>
      <w:r w:rsidRPr="00B71D90">
        <w:t>Data entry processors enter all required data elements for each measure</w:t>
      </w:r>
      <w:r w:rsidR="00070DE8">
        <w:t>.</w:t>
      </w:r>
    </w:p>
    <w:p w:rsidR="007B7CBB" w:rsidRPr="00B71D90" w:rsidRDefault="0087692E" w:rsidP="00E80122">
      <w:pPr>
        <w:pStyle w:val="Bullet-1"/>
      </w:pPr>
      <w:r w:rsidRPr="00B71D90">
        <w:t>Data entry policies and procedures and training manuals ensure accuracy and completeness</w:t>
      </w:r>
      <w:r w:rsidR="00070DE8">
        <w:t>.</w:t>
      </w:r>
    </w:p>
    <w:p w:rsidR="007B7CBB" w:rsidRPr="00B71D90" w:rsidRDefault="0087692E" w:rsidP="00E80122">
      <w:pPr>
        <w:pStyle w:val="Bullet-1"/>
      </w:pPr>
      <w:r w:rsidRPr="00B71D90">
        <w:t>Medical record review data entry screens have:</w:t>
      </w:r>
    </w:p>
    <w:p w:rsidR="007B7CBB" w:rsidRPr="00B71D90" w:rsidRDefault="0087692E" w:rsidP="00CD13D8">
      <w:pPr>
        <w:pStyle w:val="Dash"/>
        <w:tabs>
          <w:tab w:val="clear" w:pos="792"/>
        </w:tabs>
        <w:ind w:left="1152"/>
      </w:pPr>
      <w:r w:rsidRPr="00B71D90">
        <w:t>Proper edit checks for parity checks, field sizes, date ranges, cross checks with claims/ encounter and practitioner file, code ranges and practitioner services by specialty</w:t>
      </w:r>
      <w:r w:rsidR="00B8167D">
        <w:t>.</w:t>
      </w:r>
    </w:p>
    <w:p w:rsidR="007B7CBB" w:rsidRPr="00B71D90" w:rsidRDefault="0087692E" w:rsidP="00CD13D8">
      <w:pPr>
        <w:pStyle w:val="Dash"/>
        <w:tabs>
          <w:tab w:val="clear" w:pos="792"/>
        </w:tabs>
        <w:ind w:left="1152"/>
      </w:pPr>
      <w:r w:rsidRPr="00B71D90">
        <w:t>All necessary data fields for each measure</w:t>
      </w:r>
      <w:r w:rsidR="00070DE8">
        <w:t>.</w:t>
      </w:r>
    </w:p>
    <w:p w:rsidR="007B7CBB" w:rsidRPr="00B71D90" w:rsidRDefault="0087692E" w:rsidP="00E80122">
      <w:pPr>
        <w:pStyle w:val="Bullet-1"/>
      </w:pPr>
      <w:r w:rsidRPr="00B71D90">
        <w:t>Data transaction files are accurate, including:</w:t>
      </w:r>
    </w:p>
    <w:p w:rsidR="00553312" w:rsidRPr="00B71D90" w:rsidRDefault="0087692E" w:rsidP="00553312">
      <w:pPr>
        <w:pStyle w:val="Dash"/>
        <w:ind w:left="1152"/>
      </w:pPr>
      <w:r w:rsidRPr="00B71D90">
        <w:t>Comparison of a sample of data entry files with source documents to ensure that all data are entered and that data are not changed or deleted during processing</w:t>
      </w:r>
      <w:r w:rsidR="00B8167D">
        <w:t>.</w:t>
      </w:r>
    </w:p>
    <w:p w:rsidR="00350E31" w:rsidRDefault="0087692E" w:rsidP="00553312">
      <w:pPr>
        <w:pStyle w:val="Dash"/>
        <w:ind w:left="1152"/>
        <w:sectPr w:rsidR="00350E31" w:rsidSect="00550D6B">
          <w:footerReference w:type="default" r:id="rId76"/>
          <w:footnotePr>
            <w:numStart w:val="2"/>
          </w:footnotePr>
          <w:pgSz w:w="12240" w:h="15840" w:code="1"/>
          <w:pgMar w:top="1080" w:right="1080" w:bottom="1080" w:left="1440" w:header="720" w:footer="720" w:gutter="0"/>
          <w:cols w:space="720"/>
        </w:sectPr>
      </w:pPr>
      <w:r w:rsidRPr="00B71D90">
        <w:t>Comparison of a sample of electronically transmitted files with source documents to ensure that all data are transmitted and that data are not changed or deleted during processing</w:t>
      </w:r>
      <w:r w:rsidR="00070DE8">
        <w:t>.</w:t>
      </w:r>
    </w:p>
    <w:p w:rsidR="007B7CBB" w:rsidRPr="00B71D90" w:rsidRDefault="0087692E" w:rsidP="00350E31">
      <w:pPr>
        <w:pStyle w:val="Bullet-1"/>
        <w:spacing w:before="0"/>
      </w:pPr>
      <w:r w:rsidRPr="00B71D90">
        <w:lastRenderedPageBreak/>
        <w:t>The convenience sample, if applicable, ensures that the medical record review process begins accurately</w:t>
      </w:r>
      <w:r w:rsidR="00286A96">
        <w:t>.</w:t>
      </w:r>
    </w:p>
    <w:p w:rsidR="007B7CBB" w:rsidRPr="00B71D90" w:rsidRDefault="0087692E" w:rsidP="00E80122">
      <w:pPr>
        <w:pStyle w:val="Bullet-1"/>
      </w:pPr>
      <w:r w:rsidRPr="00B71D90">
        <w:t>Medical record review validation verifies that the medical record review process worked as planned</w:t>
      </w:r>
      <w:r w:rsidR="00286A96">
        <w:t>.</w:t>
      </w:r>
    </w:p>
    <w:p w:rsidR="007B7CBB" w:rsidRPr="00B71D90" w:rsidRDefault="0087692E" w:rsidP="009301D8">
      <w:pPr>
        <w:pStyle w:val="StdText"/>
        <w:ind w:left="720" w:hanging="720"/>
      </w:pPr>
      <w:r w:rsidRPr="00B71D90">
        <w:t xml:space="preserve">IS 4.4 </w:t>
      </w:r>
      <w:r w:rsidRPr="00B71D90">
        <w:tab/>
        <w:t>The organization continually assesses data completeness and takes steps to improve performance.</w:t>
      </w:r>
    </w:p>
    <w:p w:rsidR="007B7CBB" w:rsidRPr="00B71D90" w:rsidRDefault="007F3046" w:rsidP="00E80122">
      <w:pPr>
        <w:pStyle w:val="Bullet-1"/>
      </w:pPr>
      <w:r w:rsidRPr="00B71D90">
        <w:t>Tracking documents indicate the progress of the medical record review and the number of numerator-c</w:t>
      </w:r>
      <w:r w:rsidR="00286A96">
        <w:t>ompliant members and exclusions.</w:t>
      </w:r>
    </w:p>
    <w:p w:rsidR="007B7CBB" w:rsidRPr="00B71D90" w:rsidRDefault="007F3046" w:rsidP="00E80122">
      <w:pPr>
        <w:pStyle w:val="Bullet-1"/>
      </w:pPr>
      <w:r w:rsidRPr="00B71D90">
        <w:t>Policies and procedures and performance standards require:</w:t>
      </w:r>
    </w:p>
    <w:p w:rsidR="007B7CBB" w:rsidRPr="00B71D90" w:rsidRDefault="007F3046" w:rsidP="00CD13D8">
      <w:pPr>
        <w:pStyle w:val="Dash"/>
        <w:tabs>
          <w:tab w:val="clear" w:pos="792"/>
        </w:tabs>
        <w:ind w:left="1152"/>
      </w:pPr>
      <w:r w:rsidRPr="00B71D90">
        <w:t>Complete submission and entry of medical record data</w:t>
      </w:r>
      <w:r w:rsidR="00B8167D">
        <w:t>.</w:t>
      </w:r>
    </w:p>
    <w:p w:rsidR="007B7CBB" w:rsidRPr="00B71D90" w:rsidRDefault="007F3046" w:rsidP="00CD13D8">
      <w:pPr>
        <w:pStyle w:val="Dash"/>
        <w:tabs>
          <w:tab w:val="clear" w:pos="792"/>
        </w:tabs>
        <w:ind w:left="1152"/>
      </w:pPr>
      <w:r w:rsidRPr="00B71D90">
        <w:t>Transmissions to be properly controlled by logs, record count verification, redundancy checking receipts, retransmissions and sign-offs</w:t>
      </w:r>
      <w:r w:rsidR="00286A96">
        <w:t>.</w:t>
      </w:r>
    </w:p>
    <w:p w:rsidR="002D6059" w:rsidRPr="00B71D90" w:rsidRDefault="0087692E" w:rsidP="002D6059">
      <w:pPr>
        <w:pStyle w:val="StdText"/>
        <w:ind w:left="720" w:hanging="720"/>
      </w:pPr>
      <w:r w:rsidRPr="00B71D90">
        <w:t xml:space="preserve">IS 4.5 </w:t>
      </w:r>
      <w:r w:rsidRPr="00B71D90">
        <w:tab/>
        <w:t>The organization regularly monitors vendor performance against expected performance standards.</w:t>
      </w:r>
    </w:p>
    <w:p w:rsidR="002D6059" w:rsidRPr="00B71D90" w:rsidRDefault="007F3046" w:rsidP="002D6059">
      <w:pPr>
        <w:pStyle w:val="Bullet-1"/>
      </w:pPr>
      <w:r w:rsidRPr="00B71D90">
        <w:t>Contracts with vendors require data for measure reporting and provide inspection and onsite auditing of data; correction and resubmission of data and backlog control standards and procedures; and enforce quality standards</w:t>
      </w:r>
      <w:r w:rsidR="00286A96">
        <w:t>.</w:t>
      </w:r>
    </w:p>
    <w:p w:rsidR="002D6059" w:rsidRPr="00B71D90" w:rsidRDefault="007F3046" w:rsidP="002D6059">
      <w:pPr>
        <w:pStyle w:val="Bullet-1"/>
      </w:pPr>
      <w:r w:rsidRPr="00B71D90">
        <w:t>Studies and reports show that:</w:t>
      </w:r>
    </w:p>
    <w:p w:rsidR="002D6059" w:rsidRPr="00B71D90" w:rsidRDefault="007F3046" w:rsidP="002D6059">
      <w:pPr>
        <w:pStyle w:val="Dash"/>
        <w:tabs>
          <w:tab w:val="clear" w:pos="792"/>
        </w:tabs>
        <w:ind w:left="1152"/>
      </w:pPr>
      <w:r w:rsidRPr="00B71D90">
        <w:t>Data from vendors are complete and accurate</w:t>
      </w:r>
      <w:r w:rsidR="00B8167D">
        <w:t>.</w:t>
      </w:r>
    </w:p>
    <w:p w:rsidR="002D6059" w:rsidRPr="00B71D90" w:rsidRDefault="007F3046" w:rsidP="002D6059">
      <w:pPr>
        <w:pStyle w:val="Dash"/>
        <w:tabs>
          <w:tab w:val="clear" w:pos="792"/>
        </w:tabs>
        <w:ind w:left="1152"/>
      </w:pPr>
      <w:r w:rsidRPr="00B71D90">
        <w:t>No data are lost or modified during transfer</w:t>
      </w:r>
      <w:r w:rsidR="00286A96">
        <w:t>.</w:t>
      </w:r>
    </w:p>
    <w:p w:rsidR="007B7CBB" w:rsidRPr="00B71D90" w:rsidRDefault="0087692E" w:rsidP="007B7CBB">
      <w:pPr>
        <w:pStyle w:val="StdHead"/>
        <w:rPr>
          <w:color w:val="auto"/>
        </w:rPr>
      </w:pPr>
      <w:r w:rsidRPr="00B71D90">
        <w:rPr>
          <w:color w:val="auto"/>
        </w:rPr>
        <w:t>Software Certification</w:t>
      </w:r>
    </w:p>
    <w:p w:rsidR="007B7CBB" w:rsidRPr="00B71D90" w:rsidRDefault="007F3046" w:rsidP="007B7CBB">
      <w:pPr>
        <w:pStyle w:val="Body"/>
      </w:pPr>
      <w:r w:rsidRPr="00B71D90">
        <w:t>The auditor is required to assess compliance with this standard. No item is affected by software certification.</w:t>
      </w:r>
    </w:p>
    <w:p w:rsidR="007B7CBB" w:rsidRPr="00B71D90" w:rsidRDefault="007B7CBB" w:rsidP="007B7CBB">
      <w:pPr>
        <w:pStyle w:val="Body"/>
      </w:pPr>
    </w:p>
    <w:p w:rsidR="007B7CBB" w:rsidRPr="00B71D90" w:rsidRDefault="007B7CBB" w:rsidP="007B7CBB">
      <w:pPr>
        <w:sectPr w:rsidR="007B7CBB" w:rsidRPr="00B71D90" w:rsidSect="00550D6B">
          <w:footnotePr>
            <w:numStart w:val="2"/>
          </w:footnotePr>
          <w:pgSz w:w="12240" w:h="15840" w:code="1"/>
          <w:pgMar w:top="1080" w:right="1080" w:bottom="1080" w:left="1440" w:header="720" w:footer="720" w:gutter="0"/>
          <w:cols w:space="720"/>
        </w:sectPr>
      </w:pPr>
    </w:p>
    <w:p w:rsidR="007B7CBB" w:rsidRPr="00B71D90" w:rsidRDefault="007B7CBB" w:rsidP="007B7CBB">
      <w:pPr>
        <w:pStyle w:val="Heading3"/>
        <w:pBdr>
          <w:top w:val="single" w:sz="4" w:space="2" w:color="auto"/>
          <w:bottom w:val="single" w:sz="4" w:space="2" w:color="auto"/>
        </w:pBdr>
        <w:spacing w:before="0"/>
      </w:pPr>
      <w:r w:rsidRPr="00B71D90">
        <w:lastRenderedPageBreak/>
        <w:t>IS 5.</w:t>
      </w:r>
      <w:r w:rsidR="005E2C78" w:rsidRPr="00B71D90">
        <w:t>0</w:t>
      </w:r>
      <w:r w:rsidR="005E2C78" w:rsidRPr="00B71D90">
        <w:tab/>
      </w:r>
      <w:r w:rsidRPr="00B71D90">
        <w:t>Supplemental Data</w:t>
      </w:r>
      <w:r w:rsidR="00F04991" w:rsidRPr="00B71D90">
        <w:t>—</w:t>
      </w:r>
      <w:r w:rsidRPr="00B71D90">
        <w:t>Capture, Transfer and Entry</w:t>
      </w:r>
    </w:p>
    <w:p w:rsidR="007B7CBB" w:rsidRPr="00B71D90" w:rsidRDefault="007B7CBB" w:rsidP="00571C1E">
      <w:pPr>
        <w:pStyle w:val="StdText"/>
        <w:spacing w:before="140"/>
        <w:ind w:left="720" w:hanging="720"/>
      </w:pPr>
      <w:r w:rsidRPr="00B71D90">
        <w:t>IS 5.1</w:t>
      </w:r>
      <w:r w:rsidRPr="00B71D90">
        <w:tab/>
        <w:t>Nonstandard coding schemes are fully documented and mapped to industry standard codes.</w:t>
      </w:r>
    </w:p>
    <w:p w:rsidR="002B6E04" w:rsidRPr="00B71D90" w:rsidRDefault="002B6E04" w:rsidP="00E80122">
      <w:pPr>
        <w:pStyle w:val="Bullet-1"/>
      </w:pPr>
      <w:r w:rsidRPr="00B71D90">
        <w:t xml:space="preserve">Mapping documents show </w:t>
      </w:r>
      <w:r w:rsidR="00F04991" w:rsidRPr="00B71D90">
        <w:t xml:space="preserve">that </w:t>
      </w:r>
      <w:r w:rsidRPr="00B71D90">
        <w:t xml:space="preserve">all nonstandard codes and code systems are identified and mapped according to the requirements in </w:t>
      </w:r>
      <w:r w:rsidR="00F04991" w:rsidRPr="00B71D90">
        <w:t xml:space="preserve">the </w:t>
      </w:r>
      <w:r w:rsidR="005778BF" w:rsidRPr="00B71D90">
        <w:t>specifications</w:t>
      </w:r>
      <w:r w:rsidR="00286A96">
        <w:t>.</w:t>
      </w:r>
    </w:p>
    <w:p w:rsidR="002B6E04" w:rsidRPr="00B71D90" w:rsidRDefault="002B6E04" w:rsidP="00E80122">
      <w:pPr>
        <w:pStyle w:val="Bullet-1"/>
      </w:pPr>
      <w:r w:rsidRPr="00B71D90">
        <w:t>Program code ensures that mapping documents are executed accurately</w:t>
      </w:r>
      <w:r w:rsidR="00286A96">
        <w:t>.</w:t>
      </w:r>
    </w:p>
    <w:p w:rsidR="007B7CBB" w:rsidRPr="00B71D90" w:rsidRDefault="007B7CBB" w:rsidP="009301D8">
      <w:pPr>
        <w:pStyle w:val="StdText"/>
        <w:ind w:left="720" w:hanging="720"/>
      </w:pPr>
      <w:r w:rsidRPr="00B71D90">
        <w:t>IS 5.2</w:t>
      </w:r>
      <w:r w:rsidR="007E41A2" w:rsidRPr="00B71D90">
        <w:t xml:space="preserve"> </w:t>
      </w:r>
      <w:r w:rsidR="00CB4488" w:rsidRPr="00B71D90">
        <w:tab/>
      </w:r>
      <w:r w:rsidRPr="00B71D90">
        <w:t xml:space="preserve">The organization has effective procedures for submitting </w:t>
      </w:r>
      <w:r w:rsidR="00981F87" w:rsidRPr="00B71D90">
        <w:t>measure</w:t>
      </w:r>
      <w:r w:rsidRPr="00B71D90">
        <w:t>-relevant information for data entry. Electronic transmissions of data have checking procedures to ensure accuracy.</w:t>
      </w:r>
    </w:p>
    <w:p w:rsidR="007B7CBB" w:rsidRPr="00B71D90" w:rsidRDefault="007B7CBB" w:rsidP="00E80122">
      <w:pPr>
        <w:pStyle w:val="Bullet-1"/>
      </w:pPr>
      <w:r w:rsidRPr="00B71D90">
        <w:t>Policies, procedures, log forms and training</w:t>
      </w:r>
      <w:r w:rsidR="007C5262" w:rsidRPr="00B71D90">
        <w:t xml:space="preserve"> manuals for data submission </w:t>
      </w:r>
      <w:r w:rsidRPr="00B71D90">
        <w:t xml:space="preserve">ensure accuracy and completeness and verify </w:t>
      </w:r>
      <w:r w:rsidR="00F04991" w:rsidRPr="00B71D90">
        <w:t xml:space="preserve">that </w:t>
      </w:r>
      <w:r w:rsidRPr="00B71D90">
        <w:t>the organization has mechanisms for transferring information to the appropriate location within the organization</w:t>
      </w:r>
      <w:r w:rsidR="00286A96">
        <w:t>.</w:t>
      </w:r>
    </w:p>
    <w:p w:rsidR="007B7CBB" w:rsidRPr="00B71D90" w:rsidRDefault="007B7CBB" w:rsidP="00E80122">
      <w:pPr>
        <w:pStyle w:val="Bullet-1"/>
      </w:pPr>
      <w:r w:rsidRPr="00B71D90">
        <w:t>Forms</w:t>
      </w:r>
      <w:r w:rsidR="00F04991" w:rsidRPr="00B71D90">
        <w:t>—</w:t>
      </w:r>
      <w:r w:rsidRPr="00B71D90">
        <w:t xml:space="preserve">including samples of completed forms, policies, procedures and instructions for completing the </w:t>
      </w:r>
      <w:r w:rsidR="00F04991" w:rsidRPr="00B71D90">
        <w:t>forms—</w:t>
      </w:r>
      <w:r w:rsidR="00A96D2E" w:rsidRPr="00B71D90">
        <w:t>ensure</w:t>
      </w:r>
      <w:r w:rsidRPr="00B71D90">
        <w:t xml:space="preserve"> </w:t>
      </w:r>
      <w:r w:rsidR="00F04991" w:rsidRPr="00B71D90">
        <w:t xml:space="preserve">that </w:t>
      </w:r>
      <w:r w:rsidRPr="00B71D90">
        <w:t xml:space="preserve">all fields relevant to </w:t>
      </w:r>
      <w:r w:rsidR="00981F87" w:rsidRPr="00B71D90">
        <w:t xml:space="preserve">measure </w:t>
      </w:r>
      <w:r w:rsidRPr="00B71D90">
        <w:t>reporting are included (</w:t>
      </w:r>
      <w:r w:rsidR="00F04991" w:rsidRPr="00B71D90">
        <w:t xml:space="preserve">refer to </w:t>
      </w:r>
      <w:r w:rsidRPr="00B71D90">
        <w:t>R</w:t>
      </w:r>
      <w:r w:rsidR="00CB4488" w:rsidRPr="00B71D90">
        <w:t>oadmap</w:t>
      </w:r>
      <w:r w:rsidRPr="00B71D90">
        <w:t xml:space="preserve"> Table 5.1)</w:t>
      </w:r>
      <w:r w:rsidR="00286A96">
        <w:t>.</w:t>
      </w:r>
    </w:p>
    <w:p w:rsidR="007B7CBB" w:rsidRPr="00B71D90" w:rsidRDefault="007B7CBB" w:rsidP="00E80122">
      <w:pPr>
        <w:pStyle w:val="Bullet-1"/>
      </w:pPr>
      <w:r w:rsidRPr="00B71D90">
        <w:t xml:space="preserve">Electronic file formats and protocols </w:t>
      </w:r>
      <w:r w:rsidR="00750AC5" w:rsidRPr="00B71D90">
        <w:t>ensure</w:t>
      </w:r>
      <w:r w:rsidR="00A96D2E" w:rsidRPr="00B71D90">
        <w:t xml:space="preserve"> </w:t>
      </w:r>
      <w:r w:rsidR="00F04991" w:rsidRPr="00B71D90">
        <w:t xml:space="preserve">capture of </w:t>
      </w:r>
      <w:r w:rsidRPr="00B71D90">
        <w:t xml:space="preserve">all data fields listed in the Roadmap </w:t>
      </w:r>
      <w:r w:rsidR="00CB4488" w:rsidRPr="00B71D90">
        <w:t>(</w:t>
      </w:r>
      <w:r w:rsidR="00F04991" w:rsidRPr="00B71D90">
        <w:t xml:space="preserve">refer to </w:t>
      </w:r>
      <w:r w:rsidR="00B23343">
        <w:t xml:space="preserve">Roadmap </w:t>
      </w:r>
      <w:r w:rsidRPr="00B71D90">
        <w:t xml:space="preserve">Table 5.1, </w:t>
      </w:r>
      <w:r w:rsidR="00F04991" w:rsidRPr="00B71D90">
        <w:t>A</w:t>
      </w:r>
      <w:r w:rsidRPr="00B71D90">
        <w:t>ttachment 5.1</w:t>
      </w:r>
      <w:r w:rsidR="00CB4488" w:rsidRPr="00B71D90">
        <w:t>)</w:t>
      </w:r>
      <w:r w:rsidR="00286A96">
        <w:t>.</w:t>
      </w:r>
    </w:p>
    <w:p w:rsidR="007B7CBB" w:rsidRPr="00B71D90" w:rsidRDefault="007B7CBB" w:rsidP="00E80122">
      <w:pPr>
        <w:pStyle w:val="Bullet-1"/>
      </w:pPr>
      <w:r w:rsidRPr="00B71D90">
        <w:t>Policies and procedures for collec</w:t>
      </w:r>
      <w:r w:rsidR="00A96D2E" w:rsidRPr="00B71D90">
        <w:t>ting supplemental data</w:t>
      </w:r>
      <w:r w:rsidR="00157F1B" w:rsidRPr="00B71D90">
        <w:t xml:space="preserve"> specify</w:t>
      </w:r>
      <w:r w:rsidR="00CF6878" w:rsidRPr="00B71D90">
        <w:t>:</w:t>
      </w:r>
    </w:p>
    <w:p w:rsidR="007B7CBB" w:rsidRPr="00B71D90" w:rsidRDefault="00CF6878" w:rsidP="00CD13D8">
      <w:pPr>
        <w:pStyle w:val="Dash"/>
        <w:tabs>
          <w:tab w:val="clear" w:pos="792"/>
        </w:tabs>
        <w:ind w:left="1152"/>
      </w:pPr>
      <w:r w:rsidRPr="00B71D90">
        <w:t>E</w:t>
      </w:r>
      <w:r w:rsidR="007B7CBB" w:rsidRPr="00B71D90">
        <w:t xml:space="preserve">xclusions </w:t>
      </w:r>
      <w:r w:rsidRPr="00B71D90">
        <w:t xml:space="preserve">are not </w:t>
      </w:r>
      <w:r w:rsidR="007B7CBB" w:rsidRPr="00B71D90">
        <w:t>collected for previous reporting years for members with clinical conditions that can change</w:t>
      </w:r>
      <w:r w:rsidR="00DB2030">
        <w:t>.</w:t>
      </w:r>
    </w:p>
    <w:p w:rsidR="007B7CBB" w:rsidRPr="00B71D90" w:rsidRDefault="00CF6878" w:rsidP="00CD13D8">
      <w:pPr>
        <w:pStyle w:val="Dash"/>
        <w:tabs>
          <w:tab w:val="clear" w:pos="792"/>
        </w:tabs>
        <w:ind w:left="1152"/>
      </w:pPr>
      <w:r w:rsidRPr="00B71D90">
        <w:t>I</w:t>
      </w:r>
      <w:r w:rsidR="007B7CBB" w:rsidRPr="00B71D90">
        <w:t xml:space="preserve">nformation obtained </w:t>
      </w:r>
      <w:r w:rsidRPr="00B71D90">
        <w:t xml:space="preserve">by the provider’s office or clinician </w:t>
      </w:r>
      <w:r w:rsidR="007B7CBB" w:rsidRPr="00B71D90">
        <w:t xml:space="preserve">directly from the member was </w:t>
      </w:r>
      <w:r w:rsidR="00157F1B" w:rsidRPr="00B71D90">
        <w:t xml:space="preserve">entered </w:t>
      </w:r>
      <w:r w:rsidR="007B7CBB" w:rsidRPr="00B71D90">
        <w:t xml:space="preserve">in the medical record by the </w:t>
      </w:r>
      <w:r w:rsidR="00CB4488" w:rsidRPr="00B71D90">
        <w:t>deadline</w:t>
      </w:r>
      <w:r w:rsidR="007B7CBB" w:rsidRPr="00B71D90">
        <w:t xml:space="preserve"> established for the measure</w:t>
      </w:r>
      <w:r w:rsidR="00DB2030">
        <w:t>.</w:t>
      </w:r>
    </w:p>
    <w:p w:rsidR="007B7CBB" w:rsidRPr="00B71D90" w:rsidRDefault="00CF6878" w:rsidP="00CD13D8">
      <w:pPr>
        <w:pStyle w:val="Dash"/>
        <w:tabs>
          <w:tab w:val="clear" w:pos="792"/>
        </w:tabs>
        <w:ind w:left="1152"/>
      </w:pPr>
      <w:r w:rsidRPr="00B71D90">
        <w:t xml:space="preserve">Information obtained by the provider’s office or clinician directly from the member </w:t>
      </w:r>
      <w:r w:rsidR="00157F1B" w:rsidRPr="00B71D90">
        <w:t xml:space="preserve">is verified </w:t>
      </w:r>
      <w:r w:rsidR="007B7CBB" w:rsidRPr="00B71D90">
        <w:t xml:space="preserve">when taking a patient history of a </w:t>
      </w:r>
      <w:r w:rsidR="00CB4488" w:rsidRPr="00B71D90">
        <w:t>disease management</w:t>
      </w:r>
      <w:r w:rsidR="007B7CBB" w:rsidRPr="00B71D90">
        <w:t xml:space="preserve"> system</w:t>
      </w:r>
      <w:r w:rsidR="00DB2030">
        <w:t>.</w:t>
      </w:r>
    </w:p>
    <w:p w:rsidR="007B7CBB" w:rsidRPr="00B71D90" w:rsidRDefault="00CF6878" w:rsidP="00CD13D8">
      <w:pPr>
        <w:pStyle w:val="Dash"/>
        <w:tabs>
          <w:tab w:val="clear" w:pos="792"/>
        </w:tabs>
        <w:ind w:left="1152"/>
      </w:pPr>
      <w:r w:rsidRPr="00B71D90">
        <w:t xml:space="preserve">Information </w:t>
      </w:r>
      <w:r w:rsidR="007B7CBB" w:rsidRPr="00B71D90">
        <w:t>obtained from a simple provider attestation is not used</w:t>
      </w:r>
      <w:r w:rsidR="00DB2030">
        <w:t>.</w:t>
      </w:r>
    </w:p>
    <w:p w:rsidR="007B7CBB" w:rsidRPr="00B71D90" w:rsidRDefault="00CF6878" w:rsidP="00CD13D8">
      <w:pPr>
        <w:pStyle w:val="Dash"/>
        <w:tabs>
          <w:tab w:val="clear" w:pos="792"/>
        </w:tabs>
        <w:ind w:left="1152"/>
      </w:pPr>
      <w:r w:rsidRPr="00B71D90">
        <w:t>I</w:t>
      </w:r>
      <w:r w:rsidR="007B7CBB" w:rsidRPr="00B71D90">
        <w:t xml:space="preserve">nformation </w:t>
      </w:r>
      <w:r w:rsidRPr="00B71D90">
        <w:t xml:space="preserve">obtained </w:t>
      </w:r>
      <w:r w:rsidR="007B7CBB" w:rsidRPr="00B71D90">
        <w:t xml:space="preserve">from member surveys is not </w:t>
      </w:r>
      <w:r w:rsidR="00A95626" w:rsidRPr="00B71D90">
        <w:t>used</w:t>
      </w:r>
      <w:r w:rsidR="00286A96">
        <w:t>.</w:t>
      </w:r>
    </w:p>
    <w:p w:rsidR="007B7CBB" w:rsidRPr="00B71D90" w:rsidRDefault="007B7CBB" w:rsidP="00E80122">
      <w:pPr>
        <w:pStyle w:val="Bullet-1"/>
      </w:pPr>
      <w:r w:rsidRPr="00B71D90">
        <w:t>Po</w:t>
      </w:r>
      <w:r w:rsidR="00A96D2E" w:rsidRPr="00B71D90">
        <w:t>licies and procedures for submission</w:t>
      </w:r>
      <w:r w:rsidRPr="00B71D90">
        <w:t xml:space="preserve"> and transmission of electronic information</w:t>
      </w:r>
      <w:r w:rsidR="00CF6878" w:rsidRPr="00B71D90">
        <w:t>:</w:t>
      </w:r>
      <w:r w:rsidRPr="00B71D90">
        <w:t xml:space="preserve"> </w:t>
      </w:r>
    </w:p>
    <w:p w:rsidR="007B7CBB" w:rsidRPr="00B71D90" w:rsidRDefault="00CF6878" w:rsidP="00CD13D8">
      <w:pPr>
        <w:pStyle w:val="Dash"/>
        <w:tabs>
          <w:tab w:val="clear" w:pos="792"/>
        </w:tabs>
        <w:ind w:left="1152"/>
      </w:pPr>
      <w:r w:rsidRPr="00B71D90">
        <w:t>T</w:t>
      </w:r>
      <w:r w:rsidR="007B7CBB" w:rsidRPr="00B71D90">
        <w:t>he organization effectively monitors the quality and accuracy of its electronic submissions</w:t>
      </w:r>
      <w:r w:rsidR="00DB2030">
        <w:t>.</w:t>
      </w:r>
    </w:p>
    <w:p w:rsidR="007B7CBB" w:rsidRPr="00B71D90" w:rsidRDefault="00CF6878" w:rsidP="00CD13D8">
      <w:pPr>
        <w:pStyle w:val="Dash"/>
        <w:tabs>
          <w:tab w:val="clear" w:pos="792"/>
        </w:tabs>
        <w:ind w:left="1152"/>
      </w:pPr>
      <w:r w:rsidRPr="00B71D90">
        <w:t>T</w:t>
      </w:r>
      <w:r w:rsidR="007B7CBB" w:rsidRPr="00B71D90">
        <w:t>ransmissions are properly controlled by logs, record count verification, redundancy checking receipts, retransmissions and sign-offs</w:t>
      </w:r>
      <w:r w:rsidR="00286A96">
        <w:t>.</w:t>
      </w:r>
    </w:p>
    <w:p w:rsidR="007B7CBB" w:rsidRPr="00B71D90" w:rsidRDefault="007B7CBB" w:rsidP="009301D8">
      <w:pPr>
        <w:pStyle w:val="StdText"/>
        <w:ind w:left="720" w:hanging="720"/>
      </w:pPr>
      <w:r w:rsidRPr="00B71D90">
        <w:t>IS 5.3</w:t>
      </w:r>
      <w:r w:rsidR="009301D8" w:rsidRPr="00B71D90">
        <w:tab/>
      </w:r>
      <w:r w:rsidRPr="00B71D90">
        <w:t xml:space="preserve">Data entry processes are timely </w:t>
      </w:r>
      <w:r w:rsidR="00093FA8" w:rsidRPr="00B71D90">
        <w:t xml:space="preserve">and accurate </w:t>
      </w:r>
      <w:r w:rsidRPr="00B71D90">
        <w:t>and include edit checks to ensure accurate entry of submitted data in transaction files.</w:t>
      </w:r>
    </w:p>
    <w:p w:rsidR="007B7CBB" w:rsidRPr="00B71D90" w:rsidRDefault="007B7CBB" w:rsidP="00E80122">
      <w:pPr>
        <w:pStyle w:val="Bullet-1"/>
      </w:pPr>
      <w:r w:rsidRPr="00B71D90">
        <w:t>Standard monitoring reports for all personnel</w:t>
      </w:r>
      <w:r w:rsidR="0016120E" w:rsidRPr="00B71D90">
        <w:t>—</w:t>
      </w:r>
      <w:r w:rsidRPr="00B71D90">
        <w:t xml:space="preserve">including data entry, provider processing staff and hardware </w:t>
      </w:r>
      <w:r w:rsidR="0016120E" w:rsidRPr="00B71D90">
        <w:t>operations—</w:t>
      </w:r>
      <w:r w:rsidRPr="00B71D90">
        <w:t xml:space="preserve">verify </w:t>
      </w:r>
      <w:r w:rsidR="0016120E" w:rsidRPr="00B71D90">
        <w:t xml:space="preserve">that </w:t>
      </w:r>
      <w:r w:rsidRPr="00B71D90">
        <w:t>the organization effectively monitors the quality, accuracy, timeliness and productivity of its entry processes (</w:t>
      </w:r>
      <w:r w:rsidR="0016120E" w:rsidRPr="00B71D90">
        <w:t xml:space="preserve">refer to </w:t>
      </w:r>
      <w:r w:rsidRPr="00B71D90">
        <w:t>R</w:t>
      </w:r>
      <w:r w:rsidR="00CB4488" w:rsidRPr="00B71D90">
        <w:t>oadmap</w:t>
      </w:r>
      <w:r w:rsidRPr="00B71D90">
        <w:t xml:space="preserve"> </w:t>
      </w:r>
      <w:r w:rsidR="0016120E" w:rsidRPr="00B71D90">
        <w:t>Attachment</w:t>
      </w:r>
      <w:r w:rsidR="00286A96">
        <w:t>s</w:t>
      </w:r>
      <w:r w:rsidR="0016120E" w:rsidRPr="00B71D90">
        <w:t xml:space="preserve"> </w:t>
      </w:r>
      <w:r w:rsidRPr="00B71D90">
        <w:t>5.3, 5.4)</w:t>
      </w:r>
      <w:r w:rsidR="00286A96">
        <w:t>.</w:t>
      </w:r>
    </w:p>
    <w:p w:rsidR="007B7CBB" w:rsidRPr="00B71D90" w:rsidRDefault="007B7CBB" w:rsidP="00E80122">
      <w:pPr>
        <w:pStyle w:val="Bullet-1"/>
      </w:pPr>
      <w:r w:rsidRPr="00B71D90">
        <w:t>Flowcharts</w:t>
      </w:r>
      <w:r w:rsidR="00864F1C" w:rsidRPr="00B71D90">
        <w:t xml:space="preserve"> </w:t>
      </w:r>
      <w:r w:rsidR="00155006" w:rsidRPr="00B71D90">
        <w:t>describe data from all sources</w:t>
      </w:r>
      <w:r w:rsidR="00286A96">
        <w:t>.</w:t>
      </w:r>
    </w:p>
    <w:p w:rsidR="007B7CBB" w:rsidRPr="00B71D90" w:rsidRDefault="007B7CBB" w:rsidP="00E80122">
      <w:pPr>
        <w:pStyle w:val="Bullet-1"/>
      </w:pPr>
      <w:r w:rsidRPr="00B71D90">
        <w:t>Data entry processors enter all required data elements (</w:t>
      </w:r>
      <w:r w:rsidR="0016120E" w:rsidRPr="00B71D90">
        <w:t xml:space="preserve">refer to </w:t>
      </w:r>
      <w:r w:rsidRPr="00B71D90">
        <w:t>R</w:t>
      </w:r>
      <w:r w:rsidR="00CB4488" w:rsidRPr="00B71D90">
        <w:t>oadmap</w:t>
      </w:r>
      <w:r w:rsidRPr="00B71D90">
        <w:t xml:space="preserve"> Table 5.1)</w:t>
      </w:r>
      <w:r w:rsidR="00286A96">
        <w:t>.</w:t>
      </w:r>
    </w:p>
    <w:p w:rsidR="007B7CBB" w:rsidRPr="00B71D90" w:rsidRDefault="007B7CBB" w:rsidP="00E80122">
      <w:pPr>
        <w:pStyle w:val="Bullet-1"/>
      </w:pPr>
      <w:r w:rsidRPr="00B71D90">
        <w:t>Policies and procedures and tra</w:t>
      </w:r>
      <w:r w:rsidR="00155006" w:rsidRPr="00B71D90">
        <w:t xml:space="preserve">ining manuals for data entry </w:t>
      </w:r>
      <w:r w:rsidRPr="00B71D90">
        <w:t>ensure accuracy and completeness</w:t>
      </w:r>
      <w:r w:rsidR="00286A96">
        <w:t>.</w:t>
      </w:r>
    </w:p>
    <w:p w:rsidR="007B7CBB" w:rsidRPr="00B71D90" w:rsidRDefault="007B7CBB" w:rsidP="00E80122">
      <w:pPr>
        <w:pStyle w:val="Bullet-1"/>
      </w:pPr>
      <w:r w:rsidRPr="00B71D90">
        <w:t xml:space="preserve">Data entry screens </w:t>
      </w:r>
      <w:r w:rsidR="00155006" w:rsidRPr="00B71D90">
        <w:t>have</w:t>
      </w:r>
      <w:r w:rsidR="0016120E" w:rsidRPr="00B71D90">
        <w:t>:</w:t>
      </w:r>
    </w:p>
    <w:p w:rsidR="007B7CBB" w:rsidRPr="00B71D90" w:rsidRDefault="0016120E" w:rsidP="00CD13D8">
      <w:pPr>
        <w:pStyle w:val="Dash"/>
        <w:tabs>
          <w:tab w:val="clear" w:pos="792"/>
        </w:tabs>
        <w:ind w:left="1152"/>
      </w:pPr>
      <w:r w:rsidRPr="00B71D90">
        <w:t>P</w:t>
      </w:r>
      <w:r w:rsidR="00155006" w:rsidRPr="00B71D90">
        <w:t xml:space="preserve">roper edit checks for </w:t>
      </w:r>
      <w:r w:rsidR="007B7CBB" w:rsidRPr="00B71D90">
        <w:t>parity checks, field sizes, date ranges, cross checks with claim/</w:t>
      </w:r>
      <w:r w:rsidR="005E2C78" w:rsidRPr="00B71D90">
        <w:t xml:space="preserve"> </w:t>
      </w:r>
      <w:r w:rsidR="007B7CBB" w:rsidRPr="00B71D90">
        <w:t>encounter and practitioner file</w:t>
      </w:r>
      <w:r w:rsidR="00864F1C" w:rsidRPr="00B71D90">
        <w:t>s</w:t>
      </w:r>
      <w:r w:rsidR="007B7CBB" w:rsidRPr="00B71D90">
        <w:t xml:space="preserve">, code ranges </w:t>
      </w:r>
      <w:r w:rsidR="00155006" w:rsidRPr="00B71D90">
        <w:t xml:space="preserve">and </w:t>
      </w:r>
      <w:r w:rsidR="007B7CBB" w:rsidRPr="00B71D90">
        <w:t>practitioner services by specialt</w:t>
      </w:r>
      <w:r w:rsidR="00155006" w:rsidRPr="00B71D90">
        <w:t>y</w:t>
      </w:r>
      <w:r w:rsidR="00DB2030">
        <w:t>.</w:t>
      </w:r>
    </w:p>
    <w:p w:rsidR="00864F1C" w:rsidRPr="00B71D90" w:rsidRDefault="0016120E" w:rsidP="00CD13D8">
      <w:pPr>
        <w:pStyle w:val="Dash"/>
        <w:tabs>
          <w:tab w:val="clear" w:pos="792"/>
        </w:tabs>
        <w:ind w:left="1152"/>
        <w:sectPr w:rsidR="00864F1C" w:rsidRPr="00B71D90" w:rsidSect="00550D6B">
          <w:footnotePr>
            <w:numStart w:val="2"/>
          </w:footnotePr>
          <w:pgSz w:w="12240" w:h="15840" w:code="1"/>
          <w:pgMar w:top="1080" w:right="1080" w:bottom="1080" w:left="1440" w:header="720" w:footer="720" w:gutter="0"/>
          <w:cols w:space="720"/>
        </w:sectPr>
      </w:pPr>
      <w:r w:rsidRPr="00B71D90">
        <w:t>A</w:t>
      </w:r>
      <w:r w:rsidR="007B7CBB" w:rsidRPr="00B71D90">
        <w:t>ll data fields listed in Roadmap Table 5.1</w:t>
      </w:r>
      <w:r w:rsidR="00286A96">
        <w:t>.</w:t>
      </w:r>
    </w:p>
    <w:p w:rsidR="007B7CBB" w:rsidRPr="00B71D90" w:rsidRDefault="007B7CBB" w:rsidP="00864F1C">
      <w:pPr>
        <w:pStyle w:val="Bullet-1"/>
        <w:spacing w:before="0"/>
      </w:pPr>
      <w:r w:rsidRPr="00B71D90">
        <w:lastRenderedPageBreak/>
        <w:t>Data transaction files</w:t>
      </w:r>
      <w:r w:rsidR="00155006" w:rsidRPr="00B71D90">
        <w:t xml:space="preserve"> are </w:t>
      </w:r>
      <w:r w:rsidR="0045789B" w:rsidRPr="00B71D90">
        <w:t xml:space="preserve">checked for </w:t>
      </w:r>
      <w:r w:rsidRPr="00B71D90">
        <w:t>accuracy, including</w:t>
      </w:r>
      <w:r w:rsidR="0045789B" w:rsidRPr="00B71D90">
        <w:t>:</w:t>
      </w:r>
    </w:p>
    <w:p w:rsidR="0045789B" w:rsidRPr="00B71D90" w:rsidRDefault="00864F1C" w:rsidP="0045789B">
      <w:pPr>
        <w:pStyle w:val="Dash"/>
        <w:ind w:left="1152"/>
      </w:pPr>
      <w:r w:rsidRPr="00B71D90">
        <w:t>C</w:t>
      </w:r>
      <w:r w:rsidR="0045789B" w:rsidRPr="00B71D90">
        <w:t>omparison of a sample of data</w:t>
      </w:r>
      <w:r w:rsidR="00D1207A" w:rsidRPr="00B71D90">
        <w:t xml:space="preserve"> </w:t>
      </w:r>
      <w:r w:rsidR="0045789B" w:rsidRPr="00B71D90">
        <w:t>entry files with source documents to ensure that all data are entered and are not changed or deleted during processing</w:t>
      </w:r>
      <w:r w:rsidR="00E95090">
        <w:t>.</w:t>
      </w:r>
    </w:p>
    <w:p w:rsidR="0045789B" w:rsidRPr="00B71D90" w:rsidRDefault="00864F1C" w:rsidP="0045789B">
      <w:pPr>
        <w:pStyle w:val="Dash"/>
        <w:ind w:left="1152"/>
        <w:rPr>
          <w:szCs w:val="20"/>
        </w:rPr>
      </w:pPr>
      <w:r w:rsidRPr="00B71D90">
        <w:t>C</w:t>
      </w:r>
      <w:r w:rsidR="0045789B" w:rsidRPr="00B71D90">
        <w:t>omparison of a sample of electronically transmitted files with source documents to ensure that all data are transmitted and are not changed or deleted during processing</w:t>
      </w:r>
      <w:r w:rsidR="00286A96">
        <w:t>.</w:t>
      </w:r>
    </w:p>
    <w:p w:rsidR="007B7CBB" w:rsidRPr="00B71D90" w:rsidRDefault="007B7CBB" w:rsidP="009301D8">
      <w:pPr>
        <w:pStyle w:val="StdText"/>
        <w:ind w:left="720" w:hanging="720"/>
      </w:pPr>
      <w:r w:rsidRPr="00B71D90">
        <w:t>IS 5.4</w:t>
      </w:r>
      <w:r w:rsidR="0045789B" w:rsidRPr="00B71D90">
        <w:tab/>
      </w:r>
      <w:r w:rsidRPr="00B71D90">
        <w:t xml:space="preserve">The organization </w:t>
      </w:r>
      <w:r w:rsidR="00027461" w:rsidRPr="00B71D90">
        <w:t xml:space="preserve">continually </w:t>
      </w:r>
      <w:r w:rsidRPr="00B71D90">
        <w:t>assesses data completeness and takes steps to improve</w:t>
      </w:r>
      <w:r w:rsidR="00027461" w:rsidRPr="00B71D90">
        <w:t xml:space="preserve"> </w:t>
      </w:r>
      <w:r w:rsidRPr="00B71D90">
        <w:t>performance</w:t>
      </w:r>
      <w:r w:rsidR="00CB4488" w:rsidRPr="00B71D90">
        <w:t>.</w:t>
      </w:r>
    </w:p>
    <w:p w:rsidR="007B7CBB" w:rsidRPr="00B71D90" w:rsidRDefault="007B7CBB" w:rsidP="00E80122">
      <w:pPr>
        <w:pStyle w:val="Bullet-1"/>
      </w:pPr>
      <w:r w:rsidRPr="00B71D90">
        <w:t>Policies, procedure</w:t>
      </w:r>
      <w:r w:rsidR="00F2286B" w:rsidRPr="00B71D90">
        <w:t>s and performance standards</w:t>
      </w:r>
      <w:r w:rsidRPr="00B71D90">
        <w:t xml:space="preserve"> </w:t>
      </w:r>
      <w:r w:rsidR="0045789B" w:rsidRPr="00B71D90">
        <w:t>require:</w:t>
      </w:r>
    </w:p>
    <w:p w:rsidR="007B7CBB" w:rsidRPr="00B71D90" w:rsidRDefault="0045789B" w:rsidP="00CD13D8">
      <w:pPr>
        <w:pStyle w:val="Dash"/>
        <w:tabs>
          <w:tab w:val="clear" w:pos="792"/>
        </w:tabs>
        <w:ind w:left="1152"/>
      </w:pPr>
      <w:r w:rsidRPr="00B71D90">
        <w:t>C</w:t>
      </w:r>
      <w:r w:rsidR="007B7CBB" w:rsidRPr="00B71D90">
        <w:t xml:space="preserve">omplete submission and entry </w:t>
      </w:r>
      <w:r w:rsidR="00F2286B" w:rsidRPr="00B71D90">
        <w:t>of data</w:t>
      </w:r>
      <w:r w:rsidR="00E95090">
        <w:t>.</w:t>
      </w:r>
    </w:p>
    <w:p w:rsidR="007B7CBB" w:rsidRPr="00B71D90" w:rsidRDefault="00864F1C" w:rsidP="00CD13D8">
      <w:pPr>
        <w:pStyle w:val="Dash"/>
        <w:tabs>
          <w:tab w:val="clear" w:pos="792"/>
        </w:tabs>
        <w:ind w:left="1152"/>
      </w:pPr>
      <w:r w:rsidRPr="00B71D90">
        <w:t>Proper control of t</w:t>
      </w:r>
      <w:r w:rsidR="007B7CBB" w:rsidRPr="00B71D90">
        <w:t xml:space="preserve">ransmissions by logs, record count verification, redundancy checking receipts, retransmissions and sign-offs to ensure </w:t>
      </w:r>
      <w:r w:rsidR="0045789B" w:rsidRPr="00B71D90">
        <w:t xml:space="preserve">that </w:t>
      </w:r>
      <w:r w:rsidR="007B7CBB" w:rsidRPr="00B71D90">
        <w:t xml:space="preserve">all data </w:t>
      </w:r>
      <w:r w:rsidR="0045789B" w:rsidRPr="00B71D90">
        <w:t>are</w:t>
      </w:r>
      <w:r w:rsidR="007B7CBB" w:rsidRPr="00B71D90">
        <w:t xml:space="preserve"> received</w:t>
      </w:r>
      <w:r w:rsidR="00286A96">
        <w:t>.</w:t>
      </w:r>
    </w:p>
    <w:p w:rsidR="007B7CBB" w:rsidRPr="00B71D90" w:rsidRDefault="007B7CBB" w:rsidP="00E80122">
      <w:pPr>
        <w:pStyle w:val="Bullet-1"/>
      </w:pPr>
      <w:r w:rsidRPr="00B71D90">
        <w:t xml:space="preserve">Contracts with vendors require data for </w:t>
      </w:r>
      <w:r w:rsidR="00981F87" w:rsidRPr="00B71D90">
        <w:t xml:space="preserve">measure </w:t>
      </w:r>
      <w:r w:rsidRPr="00B71D90">
        <w:t>reporting and provide inspection and onsite auditing of data, correction and resubmission of data and backlog control standards and procedures</w:t>
      </w:r>
      <w:r w:rsidR="00286A96">
        <w:t>.</w:t>
      </w:r>
    </w:p>
    <w:p w:rsidR="007B7CBB" w:rsidRPr="00B71D90" w:rsidRDefault="007B7CBB" w:rsidP="00E80122">
      <w:pPr>
        <w:pStyle w:val="Bullet-1"/>
      </w:pPr>
      <w:r w:rsidRPr="00B71D90">
        <w:t>Policies, procedures and performance st</w:t>
      </w:r>
      <w:r w:rsidR="00F2286B" w:rsidRPr="00B71D90">
        <w:t xml:space="preserve">andards </w:t>
      </w:r>
      <w:r w:rsidR="00CB4488" w:rsidRPr="00B71D90">
        <w:t>r</w:t>
      </w:r>
      <w:r w:rsidRPr="00B71D90">
        <w:t>equire reconciliation of data between the originating system and the repository</w:t>
      </w:r>
      <w:r w:rsidR="00286A96">
        <w:t>.</w:t>
      </w:r>
    </w:p>
    <w:p w:rsidR="007B7CBB" w:rsidRPr="00B71D90" w:rsidRDefault="007B7CBB" w:rsidP="009301D8">
      <w:pPr>
        <w:pStyle w:val="StdText"/>
        <w:ind w:left="720" w:hanging="720"/>
      </w:pPr>
      <w:r w:rsidRPr="00B71D90">
        <w:t>IS 5.5</w:t>
      </w:r>
      <w:r w:rsidRPr="00B71D90">
        <w:tab/>
        <w:t>The organization regularly monitors vendor performance against expect</w:t>
      </w:r>
      <w:r w:rsidR="00864F1C" w:rsidRPr="00B71D90">
        <w:t>ed</w:t>
      </w:r>
      <w:r w:rsidRPr="00B71D90">
        <w:t xml:space="preserve"> performance standards</w:t>
      </w:r>
      <w:r w:rsidR="00CB4488" w:rsidRPr="00B71D90">
        <w:t>.</w:t>
      </w:r>
    </w:p>
    <w:p w:rsidR="007B7CBB" w:rsidRPr="00B71D90" w:rsidRDefault="007B7CBB" w:rsidP="00E80122">
      <w:pPr>
        <w:pStyle w:val="Bullet-1"/>
      </w:pPr>
      <w:r w:rsidRPr="00B71D90">
        <w:t xml:space="preserve">Documentation </w:t>
      </w:r>
      <w:r w:rsidR="00864F1C" w:rsidRPr="00B71D90">
        <w:t>acquired by the</w:t>
      </w:r>
      <w:r w:rsidRPr="00B71D90">
        <w:t xml:space="preserve"> organization shows</w:t>
      </w:r>
      <w:r w:rsidR="0045789B" w:rsidRPr="00B71D90">
        <w:t xml:space="preserve"> that</w:t>
      </w:r>
      <w:r w:rsidRPr="00B71D90">
        <w:t xml:space="preserve"> the responsible agency has reasonable processes in place for data collection and accuracy</w:t>
      </w:r>
      <w:r w:rsidR="00286A96">
        <w:t>.</w:t>
      </w:r>
    </w:p>
    <w:p w:rsidR="007B7CBB" w:rsidRPr="00B71D90" w:rsidRDefault="007B7CBB" w:rsidP="00E80122">
      <w:pPr>
        <w:pStyle w:val="Bullet-1"/>
      </w:pPr>
      <w:r w:rsidRPr="00B71D90">
        <w:t>Studies and reports</w:t>
      </w:r>
      <w:r w:rsidR="007E41A2" w:rsidRPr="00B71D90">
        <w:t xml:space="preserve"> </w:t>
      </w:r>
      <w:r w:rsidR="00F2286B" w:rsidRPr="00B71D90">
        <w:t>show that</w:t>
      </w:r>
      <w:r w:rsidR="0045789B" w:rsidRPr="00B71D90">
        <w:t>:</w:t>
      </w:r>
    </w:p>
    <w:p w:rsidR="007B7CBB" w:rsidRPr="00B71D90" w:rsidRDefault="0045789B" w:rsidP="00CD13D8">
      <w:pPr>
        <w:pStyle w:val="Dash"/>
        <w:tabs>
          <w:tab w:val="clear" w:pos="792"/>
        </w:tabs>
        <w:ind w:left="1152"/>
      </w:pPr>
      <w:r w:rsidRPr="00B71D90">
        <w:t>D</w:t>
      </w:r>
      <w:r w:rsidR="007B7CBB" w:rsidRPr="00B71D90">
        <w:t xml:space="preserve">ata from vendors </w:t>
      </w:r>
      <w:r w:rsidRPr="00B71D90">
        <w:t>are</w:t>
      </w:r>
      <w:r w:rsidR="007B7CBB" w:rsidRPr="00B71D90">
        <w:t xml:space="preserve"> complete and accurate</w:t>
      </w:r>
      <w:r w:rsidR="00E95090">
        <w:t>.</w:t>
      </w:r>
    </w:p>
    <w:p w:rsidR="007B7CBB" w:rsidRPr="00B71D90" w:rsidRDefault="0045789B" w:rsidP="00CD13D8">
      <w:pPr>
        <w:pStyle w:val="Dash"/>
        <w:tabs>
          <w:tab w:val="clear" w:pos="792"/>
        </w:tabs>
        <w:ind w:left="1152"/>
      </w:pPr>
      <w:r w:rsidRPr="00B71D90">
        <w:t>N</w:t>
      </w:r>
      <w:r w:rsidR="007B7CBB" w:rsidRPr="00B71D90">
        <w:t xml:space="preserve">o data </w:t>
      </w:r>
      <w:r w:rsidRPr="00B71D90">
        <w:t>are</w:t>
      </w:r>
      <w:r w:rsidR="007B7CBB" w:rsidRPr="00B71D90">
        <w:t xml:space="preserve"> lost or modified during transfer</w:t>
      </w:r>
      <w:r w:rsidR="00286A96">
        <w:t>.</w:t>
      </w:r>
    </w:p>
    <w:p w:rsidR="007B7CBB" w:rsidRPr="00B71D90" w:rsidRDefault="00F2286B" w:rsidP="007B7CBB">
      <w:pPr>
        <w:pStyle w:val="StdHead"/>
        <w:rPr>
          <w:color w:val="auto"/>
        </w:rPr>
      </w:pPr>
      <w:r w:rsidRPr="00B71D90">
        <w:rPr>
          <w:color w:val="auto"/>
        </w:rPr>
        <w:t>S</w:t>
      </w:r>
      <w:r w:rsidR="007B7CBB" w:rsidRPr="00B71D90">
        <w:rPr>
          <w:color w:val="auto"/>
        </w:rPr>
        <w:t>oftware Certification</w:t>
      </w:r>
    </w:p>
    <w:p w:rsidR="007B7CBB" w:rsidRPr="00B71D90" w:rsidRDefault="007B7CBB" w:rsidP="007B7CBB">
      <w:pPr>
        <w:pStyle w:val="Body"/>
      </w:pPr>
      <w:r w:rsidRPr="00B71D90">
        <w:t>The auditor is required to assess compliance with this standard. No item is affected by software certification.</w:t>
      </w:r>
    </w:p>
    <w:p w:rsidR="007B7CBB" w:rsidRPr="00B71D90" w:rsidRDefault="007B7CBB" w:rsidP="007B7CBB">
      <w:pPr>
        <w:pStyle w:val="Body"/>
        <w:sectPr w:rsidR="007B7CBB" w:rsidRPr="00B71D90" w:rsidSect="00550D6B">
          <w:footnotePr>
            <w:numStart w:val="2"/>
          </w:footnotePr>
          <w:pgSz w:w="12240" w:h="15840" w:code="1"/>
          <w:pgMar w:top="1080" w:right="1080" w:bottom="1080" w:left="1440" w:header="720" w:footer="720" w:gutter="0"/>
          <w:cols w:space="720"/>
        </w:sectPr>
      </w:pPr>
    </w:p>
    <w:p w:rsidR="007B7CBB" w:rsidRPr="00B71D90" w:rsidRDefault="007B7CBB" w:rsidP="007B7CBB">
      <w:pPr>
        <w:pStyle w:val="Heading3"/>
        <w:pBdr>
          <w:top w:val="single" w:sz="4" w:space="2" w:color="auto"/>
          <w:bottom w:val="single" w:sz="4" w:space="2" w:color="auto"/>
        </w:pBdr>
        <w:spacing w:before="0"/>
      </w:pPr>
      <w:r w:rsidRPr="00B71D90">
        <w:lastRenderedPageBreak/>
        <w:t>IS 6.</w:t>
      </w:r>
      <w:r w:rsidR="005E2C78" w:rsidRPr="00B71D90">
        <w:t>0</w:t>
      </w:r>
      <w:r w:rsidR="005E2C78" w:rsidRPr="00B71D90">
        <w:tab/>
      </w:r>
      <w:r w:rsidRPr="00B71D90">
        <w:t>Member Call Center Data</w:t>
      </w:r>
      <w:r w:rsidR="005E2C78" w:rsidRPr="00B71D90">
        <w:t>—</w:t>
      </w:r>
      <w:r w:rsidRPr="00B71D90">
        <w:t>Capture, Transfer and Entry</w:t>
      </w:r>
    </w:p>
    <w:p w:rsidR="007B7CBB" w:rsidRPr="00B71D90" w:rsidRDefault="007B7CBB" w:rsidP="00571C1E">
      <w:pPr>
        <w:pStyle w:val="StdText"/>
        <w:spacing w:before="140"/>
        <w:ind w:left="720" w:hanging="720"/>
      </w:pPr>
      <w:r w:rsidRPr="00B71D90">
        <w:t>IS 6.1</w:t>
      </w:r>
      <w:r w:rsidRPr="00B71D90">
        <w:tab/>
        <w:t>Member call center data are reliably and accurately captured.</w:t>
      </w:r>
    </w:p>
    <w:p w:rsidR="007B7CBB" w:rsidRPr="00B71D90" w:rsidRDefault="00204233" w:rsidP="00E80122">
      <w:pPr>
        <w:pStyle w:val="Bullet-1"/>
      </w:pPr>
      <w:r w:rsidRPr="00B71D90">
        <w:t xml:space="preserve">Documentation </w:t>
      </w:r>
      <w:r w:rsidR="007B7CBB" w:rsidRPr="00B71D90">
        <w:t>demonstrates</w:t>
      </w:r>
      <w:r w:rsidR="00F54EF1" w:rsidRPr="00B71D90">
        <w:t>:</w:t>
      </w:r>
    </w:p>
    <w:p w:rsidR="007B7CBB" w:rsidRPr="00B71D90" w:rsidRDefault="005E2C78" w:rsidP="00CD13D8">
      <w:pPr>
        <w:pStyle w:val="Dash"/>
        <w:tabs>
          <w:tab w:val="clear" w:pos="792"/>
        </w:tabs>
        <w:ind w:left="1152"/>
      </w:pPr>
      <w:r w:rsidRPr="00B71D90">
        <w:t>Types of call</w:t>
      </w:r>
      <w:r w:rsidR="00EF4859" w:rsidRPr="00B71D90">
        <w:t>s</w:t>
      </w:r>
      <w:r w:rsidR="007B7CBB" w:rsidRPr="00B71D90">
        <w:t xml:space="preserve"> processed</w:t>
      </w:r>
      <w:r w:rsidR="00E95090">
        <w:t>.</w:t>
      </w:r>
    </w:p>
    <w:p w:rsidR="007B7CBB" w:rsidRPr="00B71D90" w:rsidRDefault="005E2C78" w:rsidP="00CD13D8">
      <w:pPr>
        <w:pStyle w:val="Dash"/>
        <w:tabs>
          <w:tab w:val="clear" w:pos="792"/>
        </w:tabs>
        <w:ind w:left="1152"/>
      </w:pPr>
      <w:r w:rsidRPr="00B71D90">
        <w:t>P</w:t>
      </w:r>
      <w:r w:rsidR="007B7CBB" w:rsidRPr="00B71D90">
        <w:t>roduct or product lines affected</w:t>
      </w:r>
      <w:r w:rsidR="00E95090">
        <w:t>.</w:t>
      </w:r>
    </w:p>
    <w:p w:rsidR="007B7CBB" w:rsidRPr="00B71D90" w:rsidRDefault="005E2C78" w:rsidP="00CD13D8">
      <w:pPr>
        <w:pStyle w:val="Dash"/>
        <w:tabs>
          <w:tab w:val="clear" w:pos="792"/>
        </w:tabs>
        <w:ind w:left="1152"/>
      </w:pPr>
      <w:r w:rsidRPr="00B71D90">
        <w:t>P</w:t>
      </w:r>
      <w:r w:rsidR="007B7CBB" w:rsidRPr="00B71D90">
        <w:t>arameters on the ACD system (</w:t>
      </w:r>
      <w:r w:rsidRPr="00B71D90">
        <w:t xml:space="preserve">refer to </w:t>
      </w:r>
      <w:r w:rsidR="007B7CBB" w:rsidRPr="00B71D90">
        <w:t>R</w:t>
      </w:r>
      <w:r w:rsidR="00865DAF" w:rsidRPr="00B71D90">
        <w:t>oadmap</w:t>
      </w:r>
      <w:r w:rsidR="007B7CBB" w:rsidRPr="00B71D90">
        <w:t xml:space="preserve"> </w:t>
      </w:r>
      <w:r w:rsidR="00EF4859" w:rsidRPr="00B71D90">
        <w:t>A</w:t>
      </w:r>
      <w:r w:rsidR="007B7CBB" w:rsidRPr="00B71D90">
        <w:t>ttachment 6.3)</w:t>
      </w:r>
      <w:r w:rsidR="00E95090">
        <w:t>.</w:t>
      </w:r>
    </w:p>
    <w:p w:rsidR="007B7CBB" w:rsidRPr="00B71D90" w:rsidRDefault="00864F1C" w:rsidP="00CD13D8">
      <w:pPr>
        <w:pStyle w:val="Dash"/>
        <w:tabs>
          <w:tab w:val="clear" w:pos="792"/>
        </w:tabs>
        <w:ind w:left="1152"/>
      </w:pPr>
      <w:r w:rsidRPr="00B71D90">
        <w:t>ACD system f</w:t>
      </w:r>
      <w:r w:rsidR="007B7CBB" w:rsidRPr="00B71D90">
        <w:t>low (</w:t>
      </w:r>
      <w:r w:rsidR="005E2C78" w:rsidRPr="00B71D90">
        <w:t xml:space="preserve">refer to </w:t>
      </w:r>
      <w:r w:rsidR="007B7CBB" w:rsidRPr="00B71D90">
        <w:t>R</w:t>
      </w:r>
      <w:r w:rsidR="00865DAF" w:rsidRPr="00B71D90">
        <w:t>oadmap</w:t>
      </w:r>
      <w:r w:rsidR="007B7CBB" w:rsidRPr="00B71D90">
        <w:t xml:space="preserve"> </w:t>
      </w:r>
      <w:r w:rsidR="00EF4859" w:rsidRPr="00B71D90">
        <w:t>A</w:t>
      </w:r>
      <w:r w:rsidR="007B7CBB" w:rsidRPr="00B71D90">
        <w:t>ttachment 6.1)</w:t>
      </w:r>
      <w:r w:rsidR="00080B63">
        <w:t>.</w:t>
      </w:r>
    </w:p>
    <w:p w:rsidR="007B7CBB" w:rsidRPr="00B71D90" w:rsidRDefault="007B7CBB" w:rsidP="00CD13D8">
      <w:pPr>
        <w:pStyle w:val="Dash"/>
        <w:tabs>
          <w:tab w:val="clear" w:pos="792"/>
        </w:tabs>
        <w:ind w:left="1152"/>
      </w:pPr>
      <w:r w:rsidRPr="00B71D90">
        <w:t>Call volume (</w:t>
      </w:r>
      <w:r w:rsidR="005E2C78" w:rsidRPr="00B71D90">
        <w:t xml:space="preserve">refer to </w:t>
      </w:r>
      <w:r w:rsidRPr="00B71D90">
        <w:t>R</w:t>
      </w:r>
      <w:r w:rsidR="00865DAF" w:rsidRPr="00B71D90">
        <w:t>oadmap</w:t>
      </w:r>
      <w:r w:rsidRPr="00B71D90">
        <w:t xml:space="preserve"> </w:t>
      </w:r>
      <w:r w:rsidR="00EF4859" w:rsidRPr="00B71D90">
        <w:t>A</w:t>
      </w:r>
      <w:r w:rsidRPr="00B71D90">
        <w:t>ttachment 6.2)</w:t>
      </w:r>
      <w:r w:rsidR="00286A96">
        <w:t>.</w:t>
      </w:r>
    </w:p>
    <w:p w:rsidR="007B7CBB" w:rsidRPr="00B71D90" w:rsidRDefault="007B7CBB" w:rsidP="007B7CBB">
      <w:pPr>
        <w:pStyle w:val="StdHead"/>
        <w:rPr>
          <w:color w:val="auto"/>
        </w:rPr>
      </w:pPr>
      <w:r w:rsidRPr="00B71D90">
        <w:rPr>
          <w:color w:val="auto"/>
        </w:rPr>
        <w:t>Software Certification</w:t>
      </w:r>
    </w:p>
    <w:p w:rsidR="007B7CBB" w:rsidRPr="00B71D90" w:rsidRDefault="00865DAF" w:rsidP="00D539D8">
      <w:pPr>
        <w:pStyle w:val="Body"/>
      </w:pPr>
      <w:r w:rsidRPr="00B71D90">
        <w:t>The auditor is required to assess compliance with this standard. No item is affected by software certification.</w:t>
      </w:r>
    </w:p>
    <w:p w:rsidR="00201E32" w:rsidRPr="00B71D90" w:rsidRDefault="00201E32" w:rsidP="00D539D8">
      <w:pPr>
        <w:pStyle w:val="Body"/>
        <w:sectPr w:rsidR="00201E32" w:rsidRPr="00B71D90" w:rsidSect="00550D6B">
          <w:footnotePr>
            <w:numStart w:val="2"/>
          </w:footnotePr>
          <w:pgSz w:w="12240" w:h="15840" w:code="1"/>
          <w:pgMar w:top="1080" w:right="1080" w:bottom="1080" w:left="1440" w:header="720" w:footer="720" w:gutter="0"/>
          <w:cols w:space="720"/>
        </w:sectPr>
      </w:pPr>
    </w:p>
    <w:p w:rsidR="007B7CBB" w:rsidRPr="00B71D90" w:rsidRDefault="007B7CBB" w:rsidP="00C31CCC">
      <w:pPr>
        <w:pStyle w:val="Heading3"/>
        <w:pBdr>
          <w:top w:val="single" w:sz="4" w:space="2" w:color="auto"/>
          <w:bottom w:val="single" w:sz="4" w:space="2" w:color="auto"/>
        </w:pBdr>
        <w:spacing w:before="0"/>
        <w:ind w:left="720" w:hanging="720"/>
      </w:pPr>
      <w:r w:rsidRPr="00B71D90">
        <w:lastRenderedPageBreak/>
        <w:t>IS 7.0</w:t>
      </w:r>
      <w:r w:rsidRPr="00B71D90">
        <w:tab/>
        <w:t>Data Integration</w:t>
      </w:r>
      <w:r w:rsidR="005E2C78" w:rsidRPr="00B71D90">
        <w:t>—</w:t>
      </w:r>
      <w:r w:rsidRPr="00B71D90">
        <w:t xml:space="preserve">Accurate Reporting, Control Procedures That Support </w:t>
      </w:r>
      <w:r w:rsidR="00D31BF0" w:rsidRPr="00B71D90">
        <w:t>Measure</w:t>
      </w:r>
      <w:r w:rsidRPr="00B71D90">
        <w:t xml:space="preserve"> Reporting Integrity </w:t>
      </w:r>
    </w:p>
    <w:p w:rsidR="007B7CBB" w:rsidRPr="00B71D90" w:rsidRDefault="007B7CBB" w:rsidP="00571C1E">
      <w:pPr>
        <w:pStyle w:val="StdText"/>
        <w:spacing w:before="140"/>
        <w:ind w:left="720" w:hanging="720"/>
      </w:pPr>
      <w:r w:rsidRPr="00B71D90">
        <w:t>IS 7.1</w:t>
      </w:r>
      <w:r w:rsidRPr="00B71D90">
        <w:tab/>
        <w:t>Nonstandard coding schemes are fully documented and mapped to industry standard codes.</w:t>
      </w:r>
    </w:p>
    <w:p w:rsidR="00CE436C" w:rsidRPr="00B71D90" w:rsidRDefault="00CE436C" w:rsidP="00E80122">
      <w:pPr>
        <w:pStyle w:val="Bullet-1"/>
      </w:pPr>
      <w:r w:rsidRPr="00B71D90">
        <w:t xml:space="preserve">Mapping documents show </w:t>
      </w:r>
      <w:r w:rsidR="005E2C78" w:rsidRPr="00B71D90">
        <w:t xml:space="preserve">that </w:t>
      </w:r>
      <w:r w:rsidRPr="00B71D90">
        <w:t xml:space="preserve">all nonstandard codes and code systems are identified and mapped according to the requirements in </w:t>
      </w:r>
      <w:r w:rsidR="005E2C78" w:rsidRPr="00B71D90">
        <w:t xml:space="preserve">the </w:t>
      </w:r>
      <w:r w:rsidR="005778BF" w:rsidRPr="00B71D90">
        <w:t>specifications</w:t>
      </w:r>
      <w:r w:rsidR="00286A96">
        <w:t>.</w:t>
      </w:r>
    </w:p>
    <w:p w:rsidR="00CE436C" w:rsidRPr="00B71D90" w:rsidRDefault="00CE436C" w:rsidP="00E80122">
      <w:pPr>
        <w:pStyle w:val="Bullet-1"/>
      </w:pPr>
      <w:r w:rsidRPr="00B71D90">
        <w:t>Program code ensures that mapping documents are executed accurately</w:t>
      </w:r>
      <w:r w:rsidR="00286A96">
        <w:t>.</w:t>
      </w:r>
    </w:p>
    <w:p w:rsidR="007B7CBB" w:rsidRPr="00B71D90" w:rsidRDefault="007B7CBB" w:rsidP="009301D8">
      <w:pPr>
        <w:pStyle w:val="StdText"/>
        <w:ind w:left="720" w:hanging="720"/>
      </w:pPr>
      <w:r w:rsidRPr="00B71D90">
        <w:t>IS 7. 2</w:t>
      </w:r>
      <w:r w:rsidR="005E2C78" w:rsidRPr="00B71D90">
        <w:tab/>
      </w:r>
      <w:r w:rsidRPr="00B71D90">
        <w:t>Data transfers to repository from transaction files are accurate.</w:t>
      </w:r>
    </w:p>
    <w:p w:rsidR="007B7CBB" w:rsidRPr="00B71D90" w:rsidRDefault="007B7CBB" w:rsidP="00E80122">
      <w:pPr>
        <w:pStyle w:val="Bullet-1"/>
      </w:pPr>
      <w:r w:rsidRPr="00B71D90">
        <w:t>Standard monitoring reports for all operations personnel, including IS staff and hardware operations</w:t>
      </w:r>
      <w:r w:rsidR="00B23343">
        <w:t>,</w:t>
      </w:r>
      <w:r w:rsidRPr="00B71D90">
        <w:t xml:space="preserve"> </w:t>
      </w:r>
      <w:r w:rsidR="004D390C" w:rsidRPr="00B71D90">
        <w:t>v</w:t>
      </w:r>
      <w:r w:rsidRPr="00B71D90">
        <w:t xml:space="preserve">erify </w:t>
      </w:r>
      <w:r w:rsidR="00296192" w:rsidRPr="00B71D90">
        <w:t xml:space="preserve">that </w:t>
      </w:r>
      <w:r w:rsidRPr="00B71D90">
        <w:t>the organization effectively monitors the quality</w:t>
      </w:r>
      <w:r w:rsidR="00286A96">
        <w:t xml:space="preserve"> and accuracy of its processes.</w:t>
      </w:r>
    </w:p>
    <w:p w:rsidR="007B7CBB" w:rsidRPr="00B71D90" w:rsidRDefault="007B7CBB" w:rsidP="00E80122">
      <w:pPr>
        <w:pStyle w:val="Bullet-1"/>
      </w:pPr>
      <w:r w:rsidRPr="00B71D90">
        <w:t>Flowcharts describe data from all sources (</w:t>
      </w:r>
      <w:r w:rsidR="001A79A1">
        <w:t xml:space="preserve">refer to </w:t>
      </w:r>
      <w:r w:rsidRPr="00B71D90">
        <w:t>R</w:t>
      </w:r>
      <w:r w:rsidR="00D539D8" w:rsidRPr="00B71D90">
        <w:t>oadmap</w:t>
      </w:r>
      <w:r w:rsidRPr="00B71D90">
        <w:t xml:space="preserve"> </w:t>
      </w:r>
      <w:r w:rsidR="00AA51E0" w:rsidRPr="00B71D90">
        <w:rPr>
          <w:caps/>
        </w:rPr>
        <w:t>A</w:t>
      </w:r>
      <w:r w:rsidRPr="00B71D90">
        <w:t>ttachment 7.1)</w:t>
      </w:r>
      <w:r w:rsidR="00286A96">
        <w:t>.</w:t>
      </w:r>
    </w:p>
    <w:p w:rsidR="007B7CBB" w:rsidRPr="00B71D90" w:rsidRDefault="00D31BF0" w:rsidP="00E80122">
      <w:pPr>
        <w:pStyle w:val="Bullet-1"/>
      </w:pPr>
      <w:r w:rsidRPr="00B71D90">
        <w:t>R</w:t>
      </w:r>
      <w:r w:rsidR="007B7CBB" w:rsidRPr="00B71D90">
        <w:t>epository data entry and data tr</w:t>
      </w:r>
      <w:r w:rsidR="004D390C" w:rsidRPr="00B71D90">
        <w:t xml:space="preserve">ansfer processes </w:t>
      </w:r>
      <w:r w:rsidR="007B7CBB" w:rsidRPr="00B71D90">
        <w:t>produce the intended result</w:t>
      </w:r>
      <w:r w:rsidR="00286A96">
        <w:t>.</w:t>
      </w:r>
    </w:p>
    <w:p w:rsidR="007B7CBB" w:rsidRPr="00B71D90" w:rsidRDefault="007B7CBB" w:rsidP="00E80122">
      <w:pPr>
        <w:pStyle w:val="Bullet-1"/>
      </w:pPr>
      <w:r w:rsidRPr="00B71D90">
        <w:t>Pol</w:t>
      </w:r>
      <w:r w:rsidR="004D390C" w:rsidRPr="00B71D90">
        <w:t>icies and procedures document</w:t>
      </w:r>
      <w:r w:rsidRPr="00B71D90">
        <w:t xml:space="preserve"> building, maintaining, testing and reporting for the reporting repository</w:t>
      </w:r>
      <w:r w:rsidR="00286A96">
        <w:t>.</w:t>
      </w:r>
    </w:p>
    <w:p w:rsidR="007B7CBB" w:rsidRPr="00B71D90" w:rsidRDefault="007B7CBB" w:rsidP="00E80122">
      <w:pPr>
        <w:pStyle w:val="Bullet-1"/>
      </w:pPr>
      <w:r w:rsidRPr="00B71D90">
        <w:t xml:space="preserve">Data samples from transaction files and medical record abstraction </w:t>
      </w:r>
      <w:r w:rsidR="00296192" w:rsidRPr="00B71D90">
        <w:t xml:space="preserve">are </w:t>
      </w:r>
      <w:r w:rsidRPr="00B71D90">
        <w:t xml:space="preserve">compared </w:t>
      </w:r>
      <w:r w:rsidR="00296192" w:rsidRPr="00B71D90">
        <w:t>with</w:t>
      </w:r>
      <w:r w:rsidRPr="00B71D90">
        <w:t xml:space="preserve"> the repository to ensure accurate procedures for populating the repository</w:t>
      </w:r>
      <w:r w:rsidR="00286A96">
        <w:t>.</w:t>
      </w:r>
    </w:p>
    <w:p w:rsidR="007B7CBB" w:rsidRPr="00B71D90" w:rsidRDefault="00D31BF0" w:rsidP="00E80122">
      <w:pPr>
        <w:pStyle w:val="Bullet-1"/>
      </w:pPr>
      <w:r w:rsidRPr="00B71D90">
        <w:t>R</w:t>
      </w:r>
      <w:r w:rsidR="004D390C" w:rsidRPr="00B71D90">
        <w:t>epository edit lists explain all edit failures</w:t>
      </w:r>
      <w:r w:rsidR="00286A96">
        <w:t>.</w:t>
      </w:r>
    </w:p>
    <w:p w:rsidR="007B7CBB" w:rsidRPr="00B71D90" w:rsidRDefault="007B7CBB" w:rsidP="00E80122">
      <w:pPr>
        <w:pStyle w:val="Bullet-1"/>
      </w:pPr>
      <w:r w:rsidRPr="00B71D90">
        <w:t>Electronic file formats and protocols</w:t>
      </w:r>
      <w:r w:rsidR="004D390C" w:rsidRPr="00B71D90">
        <w:t xml:space="preserve"> </w:t>
      </w:r>
      <w:r w:rsidRPr="00B71D90">
        <w:t xml:space="preserve">ensure capture </w:t>
      </w:r>
      <w:r w:rsidR="004D390C" w:rsidRPr="00B71D90">
        <w:t xml:space="preserve">of </w:t>
      </w:r>
      <w:r w:rsidRPr="00B71D90">
        <w:t>all data fields</w:t>
      </w:r>
      <w:r w:rsidR="00286A96">
        <w:t>.</w:t>
      </w:r>
    </w:p>
    <w:p w:rsidR="007B7CBB" w:rsidRPr="00B71D90" w:rsidRDefault="004D390C" w:rsidP="00E80122">
      <w:pPr>
        <w:pStyle w:val="Bullet-1"/>
      </w:pPr>
      <w:r w:rsidRPr="00B71D90">
        <w:t>Policies and procedures for submission</w:t>
      </w:r>
      <w:r w:rsidR="007B7CBB" w:rsidRPr="00B71D90">
        <w:t xml:space="preserve"> and transmission of e</w:t>
      </w:r>
      <w:r w:rsidRPr="00B71D90">
        <w:t>lectronic information show</w:t>
      </w:r>
      <w:r w:rsidR="009301D8" w:rsidRPr="00B71D90">
        <w:t>:</w:t>
      </w:r>
    </w:p>
    <w:p w:rsidR="007B7CBB" w:rsidRPr="00B71D90" w:rsidRDefault="009301D8" w:rsidP="00CD13D8">
      <w:pPr>
        <w:pStyle w:val="Dash"/>
        <w:tabs>
          <w:tab w:val="clear" w:pos="792"/>
        </w:tabs>
        <w:ind w:left="1152"/>
      </w:pPr>
      <w:r w:rsidRPr="00B71D90">
        <w:t>T</w:t>
      </w:r>
      <w:r w:rsidR="007B7CBB" w:rsidRPr="00B71D90">
        <w:t>he organization effectively monitors the quality and accuracy of its electronic submissions</w:t>
      </w:r>
      <w:r w:rsidR="00E95090">
        <w:t>.</w:t>
      </w:r>
    </w:p>
    <w:p w:rsidR="007B7CBB" w:rsidRPr="00B71D90" w:rsidRDefault="009301D8" w:rsidP="00CD13D8">
      <w:pPr>
        <w:pStyle w:val="Dash"/>
        <w:tabs>
          <w:tab w:val="clear" w:pos="792"/>
        </w:tabs>
        <w:ind w:left="1152"/>
      </w:pPr>
      <w:r w:rsidRPr="00B71D90">
        <w:t>T</w:t>
      </w:r>
      <w:r w:rsidR="007B7CBB" w:rsidRPr="00B71D90">
        <w:t>ransmissions are properly controlled by logs, record count verification, redundancy checking receipts, retransmissions and sign-offs</w:t>
      </w:r>
      <w:r w:rsidR="00286A96">
        <w:t>.</w:t>
      </w:r>
    </w:p>
    <w:p w:rsidR="007B7CBB" w:rsidRPr="00B71D90" w:rsidRDefault="007B7CBB" w:rsidP="00E80122">
      <w:pPr>
        <w:pStyle w:val="Bullet-1"/>
      </w:pPr>
      <w:r w:rsidRPr="00B71D90">
        <w:t>Training material</w:t>
      </w:r>
      <w:r w:rsidR="009301D8" w:rsidRPr="00B71D90">
        <w:t>s</w:t>
      </w:r>
      <w:r w:rsidRPr="00B71D90">
        <w:t xml:space="preserve"> and procedure manuals for operator staff </w:t>
      </w:r>
      <w:r w:rsidR="009301D8" w:rsidRPr="00B71D90">
        <w:t>ensure accuracy and completeness</w:t>
      </w:r>
      <w:r w:rsidR="00286A96">
        <w:t>.</w:t>
      </w:r>
    </w:p>
    <w:p w:rsidR="007B7CBB" w:rsidRPr="00B71D90" w:rsidRDefault="007B7CBB" w:rsidP="009301D8">
      <w:pPr>
        <w:pStyle w:val="StdText"/>
        <w:ind w:left="720" w:hanging="720"/>
      </w:pPr>
      <w:r w:rsidRPr="00B71D90">
        <w:t>IS 7.3</w:t>
      </w:r>
      <w:r w:rsidRPr="00B71D90">
        <w:tab/>
        <w:t>File consolidations, extracts and derivations are accurate.</w:t>
      </w:r>
    </w:p>
    <w:p w:rsidR="007B7CBB" w:rsidRPr="00B71D90" w:rsidRDefault="00D31BF0" w:rsidP="00E80122">
      <w:pPr>
        <w:pStyle w:val="Bullet-1"/>
      </w:pPr>
      <w:r w:rsidRPr="00B71D90">
        <w:t>R</w:t>
      </w:r>
      <w:r w:rsidR="007B7CBB" w:rsidRPr="00B71D90">
        <w:t>epository data manipulation programs and pr</w:t>
      </w:r>
      <w:r w:rsidR="004D390C" w:rsidRPr="00B71D90">
        <w:t xml:space="preserve">ocesses </w:t>
      </w:r>
      <w:r w:rsidR="007B7CBB" w:rsidRPr="00B71D90">
        <w:t>produce the intended result, including programs that consolidate information from multiple transaction files</w:t>
      </w:r>
      <w:r w:rsidR="00286A96">
        <w:t>.</w:t>
      </w:r>
    </w:p>
    <w:p w:rsidR="007B7CBB" w:rsidRPr="00B71D90" w:rsidRDefault="004D390C" w:rsidP="00E80122">
      <w:pPr>
        <w:pStyle w:val="Bullet-1"/>
      </w:pPr>
      <w:r w:rsidRPr="00B71D90">
        <w:t xml:space="preserve">Flowcharts </w:t>
      </w:r>
      <w:r w:rsidR="007B7CBB" w:rsidRPr="00B71D90">
        <w:t xml:space="preserve">describe data from all </w:t>
      </w:r>
      <w:r w:rsidRPr="00B71D90">
        <w:t>sources</w:t>
      </w:r>
      <w:r w:rsidR="00286A96">
        <w:t>.</w:t>
      </w:r>
    </w:p>
    <w:p w:rsidR="007B7CBB" w:rsidRPr="00B71D90" w:rsidRDefault="007B7CBB" w:rsidP="00E80122">
      <w:pPr>
        <w:pStyle w:val="Bullet-1"/>
      </w:pPr>
      <w:r w:rsidRPr="00B71D90">
        <w:t xml:space="preserve">Mechanisms link data across all data sources to satisfy </w:t>
      </w:r>
      <w:r w:rsidR="00D31BF0" w:rsidRPr="00B71D90">
        <w:t xml:space="preserve">measure </w:t>
      </w:r>
      <w:r w:rsidRPr="00B71D90">
        <w:t>data integration requirements</w:t>
      </w:r>
      <w:r w:rsidR="00286A96">
        <w:t>.</w:t>
      </w:r>
    </w:p>
    <w:p w:rsidR="007B7CBB" w:rsidRPr="00B71D90" w:rsidRDefault="007B7CBB" w:rsidP="00E80122">
      <w:pPr>
        <w:pStyle w:val="Bullet-1"/>
      </w:pPr>
      <w:r w:rsidRPr="00B71D90">
        <w:t>Data entry screens</w:t>
      </w:r>
      <w:r w:rsidR="00B204E0" w:rsidRPr="00B71D90">
        <w:t xml:space="preserve"> show all data are captured</w:t>
      </w:r>
      <w:r w:rsidR="00286A96">
        <w:t>.</w:t>
      </w:r>
    </w:p>
    <w:p w:rsidR="007B7CBB" w:rsidRPr="00B71D90" w:rsidRDefault="007B7CBB" w:rsidP="009301D8">
      <w:pPr>
        <w:pStyle w:val="StdText"/>
        <w:ind w:left="720" w:hanging="720"/>
      </w:pPr>
      <w:r w:rsidRPr="00B71D90">
        <w:t>IS 7.4</w:t>
      </w:r>
      <w:r w:rsidRPr="00B71D90">
        <w:tab/>
        <w:t>Repository structure and formatting are suitable for measures and enable required programming efforts.</w:t>
      </w:r>
    </w:p>
    <w:p w:rsidR="007B7CBB" w:rsidRPr="00B71D90" w:rsidRDefault="00296192" w:rsidP="00E80122">
      <w:pPr>
        <w:pStyle w:val="Bullet-1"/>
      </w:pPr>
      <w:r w:rsidRPr="00B71D90">
        <w:t xml:space="preserve">The repository </w:t>
      </w:r>
      <w:r w:rsidR="004D390C" w:rsidRPr="00B71D90">
        <w:t xml:space="preserve">design </w:t>
      </w:r>
      <w:r w:rsidR="007B7CBB" w:rsidRPr="00B71D90">
        <w:t>ensure</w:t>
      </w:r>
      <w:r w:rsidR="004D390C" w:rsidRPr="00B71D90">
        <w:t>s</w:t>
      </w:r>
      <w:r w:rsidR="00130EC6" w:rsidRPr="00B71D90">
        <w:t xml:space="preserve"> that</w:t>
      </w:r>
      <w:r w:rsidR="007B7CBB" w:rsidRPr="00B71D90">
        <w:t xml:space="preserve"> </w:t>
      </w:r>
      <w:r w:rsidRPr="00B71D90">
        <w:t xml:space="preserve">it </w:t>
      </w:r>
      <w:r w:rsidR="007B7CBB" w:rsidRPr="00B71D90">
        <w:t>can accommodate analysis that produce</w:t>
      </w:r>
      <w:r w:rsidR="00130EC6" w:rsidRPr="00B71D90">
        <w:t>s</w:t>
      </w:r>
      <w:r w:rsidR="007B7CBB" w:rsidRPr="00B71D90">
        <w:t xml:space="preserve"> </w:t>
      </w:r>
      <w:r w:rsidR="00D31BF0" w:rsidRPr="00B71D90">
        <w:t xml:space="preserve">measure </w:t>
      </w:r>
      <w:r w:rsidR="007B7CBB" w:rsidRPr="00B71D90">
        <w:t>results (</w:t>
      </w:r>
      <w:r w:rsidR="00130EC6" w:rsidRPr="00B71D90">
        <w:t xml:space="preserve">refer to </w:t>
      </w:r>
      <w:r w:rsidR="007B7CBB" w:rsidRPr="00B71D90">
        <w:t>R</w:t>
      </w:r>
      <w:r w:rsidR="00D539D8" w:rsidRPr="00B71D90">
        <w:t>oadmap</w:t>
      </w:r>
      <w:r w:rsidR="00B204E0" w:rsidRPr="00B71D90">
        <w:t xml:space="preserve"> </w:t>
      </w:r>
      <w:r w:rsidR="00AA51E0" w:rsidRPr="00B71D90">
        <w:t>A</w:t>
      </w:r>
      <w:r w:rsidR="00B204E0" w:rsidRPr="00B71D90">
        <w:t>ttachment 7.2). Documents available for review include</w:t>
      </w:r>
      <w:r w:rsidR="00130EC6" w:rsidRPr="00B71D90">
        <w:t>:</w:t>
      </w:r>
    </w:p>
    <w:p w:rsidR="007B7CBB" w:rsidRPr="00B71D90" w:rsidRDefault="00130EC6" w:rsidP="00CD13D8">
      <w:pPr>
        <w:pStyle w:val="Dash"/>
        <w:tabs>
          <w:tab w:val="clear" w:pos="792"/>
        </w:tabs>
        <w:ind w:left="1152"/>
      </w:pPr>
      <w:r w:rsidRPr="00B71D90">
        <w:t>R</w:t>
      </w:r>
      <w:r w:rsidR="007B7CBB" w:rsidRPr="00B71D90">
        <w:t>ecord and file formats</w:t>
      </w:r>
      <w:r w:rsidR="00E95090">
        <w:t>.</w:t>
      </w:r>
    </w:p>
    <w:p w:rsidR="007B7CBB" w:rsidRPr="00B71D90" w:rsidRDefault="00130EC6" w:rsidP="00CD13D8">
      <w:pPr>
        <w:pStyle w:val="Dash"/>
        <w:tabs>
          <w:tab w:val="clear" w:pos="792"/>
        </w:tabs>
        <w:ind w:left="1152"/>
      </w:pPr>
      <w:r w:rsidRPr="00B71D90">
        <w:t>D</w:t>
      </w:r>
      <w:r w:rsidR="007B7CBB" w:rsidRPr="00B71D90">
        <w:t>escriptions for entry and intermediate files</w:t>
      </w:r>
      <w:r w:rsidR="00286A96">
        <w:t>.</w:t>
      </w:r>
    </w:p>
    <w:p w:rsidR="007B7CBB" w:rsidRPr="00B71D90" w:rsidRDefault="007B7CBB" w:rsidP="009301D8">
      <w:pPr>
        <w:pStyle w:val="StdText"/>
        <w:ind w:left="720" w:hanging="720"/>
      </w:pPr>
      <w:r w:rsidRPr="00B71D90">
        <w:t>IS 7.5</w:t>
      </w:r>
      <w:r w:rsidRPr="00B71D90">
        <w:tab/>
        <w:t>Report production is managed effectively and operators perform appropriately.</w:t>
      </w:r>
    </w:p>
    <w:p w:rsidR="007B7CBB" w:rsidRPr="00B71D90" w:rsidRDefault="007B7CBB" w:rsidP="00E80122">
      <w:pPr>
        <w:pStyle w:val="Bullet-1"/>
      </w:pPr>
      <w:r w:rsidRPr="00B71D90">
        <w:t>Policies, procedures and dated job logs</w:t>
      </w:r>
      <w:r w:rsidR="004D390C" w:rsidRPr="00B71D90">
        <w:t xml:space="preserve"> </w:t>
      </w:r>
      <w:r w:rsidRPr="00B71D90">
        <w:t>govern the production process</w:t>
      </w:r>
      <w:r w:rsidR="00286A96">
        <w:t>.</w:t>
      </w:r>
    </w:p>
    <w:p w:rsidR="001A79A1" w:rsidRDefault="004D390C" w:rsidP="00E80122">
      <w:pPr>
        <w:pStyle w:val="Bullet-1"/>
        <w:sectPr w:rsidR="001A79A1" w:rsidSect="00550D6B">
          <w:footnotePr>
            <w:numStart w:val="2"/>
          </w:footnotePr>
          <w:pgSz w:w="12240" w:h="15840" w:code="1"/>
          <w:pgMar w:top="1080" w:right="1080" w:bottom="1080" w:left="1440" w:header="720" w:footer="720" w:gutter="0"/>
          <w:cols w:space="720"/>
        </w:sectPr>
      </w:pPr>
      <w:r w:rsidRPr="00B71D90">
        <w:t>Report run controls</w:t>
      </w:r>
      <w:r w:rsidR="007B7CBB" w:rsidRPr="00B71D90">
        <w:t xml:space="preserve"> </w:t>
      </w:r>
      <w:r w:rsidR="00296192" w:rsidRPr="00B71D90">
        <w:t xml:space="preserve">are </w:t>
      </w:r>
      <w:r w:rsidR="007B7CBB" w:rsidRPr="00B71D90">
        <w:t>reviewed by operators</w:t>
      </w:r>
      <w:r w:rsidR="00286A96">
        <w:t>.</w:t>
      </w:r>
    </w:p>
    <w:p w:rsidR="007B7CBB" w:rsidRPr="00B71D90" w:rsidRDefault="007B7CBB" w:rsidP="001A79A1">
      <w:pPr>
        <w:pStyle w:val="StdText"/>
        <w:spacing w:before="0"/>
        <w:ind w:left="720" w:hanging="720"/>
      </w:pPr>
      <w:r w:rsidRPr="00B71D90">
        <w:lastRenderedPageBreak/>
        <w:t>IS 7.6</w:t>
      </w:r>
      <w:r w:rsidRPr="00B71D90">
        <w:tab/>
      </w:r>
      <w:r w:rsidR="00D31BF0" w:rsidRPr="00B71D90">
        <w:t xml:space="preserve">Measure </w:t>
      </w:r>
      <w:r w:rsidRPr="00B71D90">
        <w:t>reporting software is managed properly with regard to development, methodology, documentation, revision control and testing.</w:t>
      </w:r>
    </w:p>
    <w:p w:rsidR="007B7CBB" w:rsidRPr="00B71D90" w:rsidRDefault="00D31BF0" w:rsidP="00E80122">
      <w:pPr>
        <w:pStyle w:val="Bullet-1"/>
      </w:pPr>
      <w:r w:rsidRPr="00B71D90">
        <w:t>R</w:t>
      </w:r>
      <w:r w:rsidR="004847EA" w:rsidRPr="00B71D90">
        <w:t>epository manuals cover</w:t>
      </w:r>
      <w:r w:rsidR="007B7CBB" w:rsidRPr="00B71D90">
        <w:t xml:space="preserve"> the application system development methodology, database development and design and </w:t>
      </w:r>
      <w:r w:rsidR="00130EC6" w:rsidRPr="00B71D90">
        <w:t xml:space="preserve">the </w:t>
      </w:r>
      <w:r w:rsidR="007B7CBB" w:rsidRPr="00B71D90">
        <w:t>decision support system use</w:t>
      </w:r>
      <w:r w:rsidR="004847EA" w:rsidRPr="00B71D90">
        <w:t>d</w:t>
      </w:r>
      <w:r w:rsidR="007B7CBB" w:rsidRPr="00B71D90">
        <w:t xml:space="preserve"> to validate proper controls</w:t>
      </w:r>
      <w:r w:rsidR="00286A96">
        <w:t>.</w:t>
      </w:r>
    </w:p>
    <w:p w:rsidR="007B7CBB" w:rsidRPr="00B71D90" w:rsidRDefault="007B7CBB" w:rsidP="00E80122">
      <w:pPr>
        <w:pStyle w:val="Bullet-1"/>
      </w:pPr>
      <w:r w:rsidRPr="00B71D90">
        <w:t>Report documentation, including code review methodology and testing, meets industry standards</w:t>
      </w:r>
      <w:r w:rsidR="00286A96">
        <w:t>.</w:t>
      </w:r>
    </w:p>
    <w:p w:rsidR="007B7CBB" w:rsidRPr="00B71D90" w:rsidRDefault="007B7CBB" w:rsidP="00E80122">
      <w:pPr>
        <w:pStyle w:val="Bullet-1"/>
      </w:pPr>
      <w:r w:rsidRPr="00B71D90">
        <w:t>Programming specifications, work flow diagrams, data sources and diagrams or narrative descriptions meet industry standards</w:t>
      </w:r>
      <w:r w:rsidR="00286A96">
        <w:t>.</w:t>
      </w:r>
    </w:p>
    <w:p w:rsidR="007B7CBB" w:rsidRPr="00B71D90" w:rsidRDefault="00B204E0" w:rsidP="00E80122">
      <w:pPr>
        <w:pStyle w:val="Bullet-1"/>
      </w:pPr>
      <w:r w:rsidRPr="00B71D90">
        <w:t>A l</w:t>
      </w:r>
      <w:r w:rsidR="007B7CBB" w:rsidRPr="00B71D90">
        <w:t xml:space="preserve">ist of measures </w:t>
      </w:r>
      <w:r w:rsidRPr="00B71D90">
        <w:t xml:space="preserve">indicates the </w:t>
      </w:r>
      <w:r w:rsidR="007B7CBB" w:rsidRPr="00B71D90">
        <w:t xml:space="preserve">programmer </w:t>
      </w:r>
      <w:r w:rsidRPr="00B71D90">
        <w:t xml:space="preserve">responsible for each measure </w:t>
      </w:r>
      <w:r w:rsidR="007B7CBB" w:rsidRPr="00B71D90">
        <w:t>(</w:t>
      </w:r>
      <w:r w:rsidR="00130EC6" w:rsidRPr="00B71D90">
        <w:t xml:space="preserve">refer to </w:t>
      </w:r>
      <w:r w:rsidR="007B7CBB" w:rsidRPr="00B71D90">
        <w:t>R</w:t>
      </w:r>
      <w:r w:rsidR="00D539D8" w:rsidRPr="00B71D90">
        <w:t>oadmap</w:t>
      </w:r>
      <w:r w:rsidR="007B7CBB" w:rsidRPr="00B71D90">
        <w:t xml:space="preserve"> </w:t>
      </w:r>
      <w:r w:rsidR="00AA51E0" w:rsidRPr="00B71D90">
        <w:t>A</w:t>
      </w:r>
      <w:r w:rsidR="007B7CBB" w:rsidRPr="00B71D90">
        <w:t>ttachment 7.5)</w:t>
      </w:r>
      <w:r w:rsidR="00286A96">
        <w:t>.</w:t>
      </w:r>
    </w:p>
    <w:p w:rsidR="007B7CBB" w:rsidRPr="00B71D90" w:rsidRDefault="007B7CBB" w:rsidP="009301D8">
      <w:pPr>
        <w:pStyle w:val="StdText"/>
        <w:ind w:left="720" w:hanging="720"/>
      </w:pPr>
      <w:r w:rsidRPr="00B71D90">
        <w:t>IS 7.7</w:t>
      </w:r>
      <w:r w:rsidRPr="00B71D90">
        <w:tab/>
        <w:t xml:space="preserve">Physical control procedures ensure </w:t>
      </w:r>
      <w:r w:rsidR="00D31BF0" w:rsidRPr="00B71D90">
        <w:t xml:space="preserve">measure </w:t>
      </w:r>
      <w:r w:rsidRPr="00B71D90">
        <w:t>data integrity such as physical security, data access authorization, disaster recovery facilities and fire protection.</w:t>
      </w:r>
    </w:p>
    <w:p w:rsidR="007B7CBB" w:rsidRPr="00B71D90" w:rsidRDefault="00D31BF0" w:rsidP="00E80122">
      <w:pPr>
        <w:pStyle w:val="Bullet-1"/>
      </w:pPr>
      <w:r w:rsidRPr="00B71D90">
        <w:t>R</w:t>
      </w:r>
      <w:r w:rsidR="007B7CBB" w:rsidRPr="00B71D90">
        <w:t>epository computer operations and system security schemes</w:t>
      </w:r>
      <w:r w:rsidR="00296192" w:rsidRPr="00B71D90">
        <w:t>,</w:t>
      </w:r>
      <w:r w:rsidR="007B7CBB" w:rsidRPr="00B71D90">
        <w:t xml:space="preserve"> d</w:t>
      </w:r>
      <w:r w:rsidR="00906B1F" w:rsidRPr="00B71D90">
        <w:t xml:space="preserve">ocumentation and procedures </w:t>
      </w:r>
      <w:r w:rsidR="007B7CBB" w:rsidRPr="00B71D90">
        <w:t>ensure</w:t>
      </w:r>
      <w:r w:rsidR="00130EC6" w:rsidRPr="00B71D90">
        <w:t xml:space="preserve"> that</w:t>
      </w:r>
      <w:r w:rsidR="007B7CBB" w:rsidRPr="00B71D90">
        <w:t xml:space="preserve"> data </w:t>
      </w:r>
      <w:r w:rsidR="00130EC6" w:rsidRPr="00B71D90">
        <w:t>are</w:t>
      </w:r>
      <w:r w:rsidR="007B7CBB" w:rsidRPr="00B71D90">
        <w:t xml:space="preserve"> not compromised by physical security, data access authorization, disaster recovery procedures, power failures, fire or smoke (</w:t>
      </w:r>
      <w:r w:rsidR="00130EC6" w:rsidRPr="00B71D90">
        <w:t xml:space="preserve">refer to </w:t>
      </w:r>
      <w:r w:rsidR="007B7CBB" w:rsidRPr="00B71D90">
        <w:t>R</w:t>
      </w:r>
      <w:r w:rsidR="00D539D8" w:rsidRPr="00B71D90">
        <w:t>oadmap</w:t>
      </w:r>
      <w:r w:rsidR="007B7CBB" w:rsidRPr="00B71D90">
        <w:t xml:space="preserve"> </w:t>
      </w:r>
      <w:r w:rsidR="00AA51E0" w:rsidRPr="00B71D90">
        <w:t>A</w:t>
      </w:r>
      <w:r w:rsidR="007B7CBB" w:rsidRPr="00B71D90">
        <w:t>ttachment 7.6).</w:t>
      </w:r>
    </w:p>
    <w:p w:rsidR="007B7CBB" w:rsidRPr="00B71D90" w:rsidRDefault="007B7CBB" w:rsidP="00E80122">
      <w:pPr>
        <w:pStyle w:val="Bullet-1"/>
      </w:pPr>
      <w:r w:rsidRPr="00B71D90">
        <w:t>Adequate copies of the repository and documentation are maintained</w:t>
      </w:r>
      <w:r w:rsidR="00286A96">
        <w:t>.</w:t>
      </w:r>
    </w:p>
    <w:p w:rsidR="007B7CBB" w:rsidRPr="00B71D90" w:rsidRDefault="007B7CBB" w:rsidP="00E80122">
      <w:pPr>
        <w:pStyle w:val="Bullet-1"/>
      </w:pPr>
      <w:r w:rsidRPr="00B71D90">
        <w:t>Policy, procedures, and log forms for monitoring control, security hardware functions, hardware activities, back-ups, recovery, archiving, capacity, physical states and access</w:t>
      </w:r>
      <w:r w:rsidR="00B204E0" w:rsidRPr="00B71D90">
        <w:t xml:space="preserve"> are available for review</w:t>
      </w:r>
      <w:r w:rsidR="00286A96">
        <w:t>.</w:t>
      </w:r>
    </w:p>
    <w:p w:rsidR="007B7CBB" w:rsidRPr="00B71D90" w:rsidRDefault="00036C79" w:rsidP="007B7CBB">
      <w:pPr>
        <w:pStyle w:val="StdHead"/>
        <w:rPr>
          <w:color w:val="auto"/>
        </w:rPr>
      </w:pPr>
      <w:r w:rsidRPr="00B71D90">
        <w:rPr>
          <w:color w:val="auto"/>
        </w:rPr>
        <w:t>S</w:t>
      </w:r>
      <w:r w:rsidR="007B7CBB" w:rsidRPr="00B71D90">
        <w:rPr>
          <w:color w:val="auto"/>
        </w:rPr>
        <w:t>oftware Certification</w:t>
      </w:r>
    </w:p>
    <w:p w:rsidR="007B7CBB" w:rsidRPr="00B71D90" w:rsidRDefault="007B7CBB" w:rsidP="007B7CBB">
      <w:pPr>
        <w:pStyle w:val="Body"/>
      </w:pPr>
      <w:r w:rsidRPr="00B71D90">
        <w:t>If the software vendor maintains a repository, documents describing the repository structure are included with the Roadmap. The link mechanisms and analysis code are tested as part of the software certification program</w:t>
      </w:r>
      <w:r w:rsidR="00AA51E0" w:rsidRPr="00B71D90">
        <w:t>.</w:t>
      </w:r>
    </w:p>
    <w:p w:rsidR="007B7CBB" w:rsidRPr="00B71D90" w:rsidRDefault="0078676A" w:rsidP="007B7CBB">
      <w:pPr>
        <w:pStyle w:val="Body"/>
      </w:pPr>
      <w:r w:rsidRPr="00B71D90">
        <w:t>I</w:t>
      </w:r>
      <w:r w:rsidR="007B7CBB" w:rsidRPr="00B71D90">
        <w:t xml:space="preserve">f the organization uses </w:t>
      </w:r>
      <w:r w:rsidR="00D47B4B" w:rsidRPr="00B71D90">
        <w:t>NCQA Certified software</w:t>
      </w:r>
      <w:r w:rsidR="007B7CBB" w:rsidRPr="00B71D90">
        <w:t xml:space="preserve">, this information is included in the vendor’s portions of the Roadmap. The organization and auditor must discern </w:t>
      </w:r>
      <w:r w:rsidR="00AA51E0" w:rsidRPr="00B71D90">
        <w:t xml:space="preserve">whether </w:t>
      </w:r>
      <w:r w:rsidR="007B7CBB" w:rsidRPr="00B71D90">
        <w:t xml:space="preserve">the appropriate version of software was used to produce </w:t>
      </w:r>
      <w:r w:rsidR="00D31BF0" w:rsidRPr="00B71D90">
        <w:t xml:space="preserve">measure </w:t>
      </w:r>
      <w:r w:rsidR="007B7CBB" w:rsidRPr="00B71D90">
        <w:t>results.</w:t>
      </w:r>
    </w:p>
    <w:p w:rsidR="00C25B16" w:rsidRPr="00B71D90" w:rsidRDefault="00C25B16" w:rsidP="007B7CBB">
      <w:pPr>
        <w:pStyle w:val="Body"/>
        <w:sectPr w:rsidR="00C25B16" w:rsidRPr="00B71D90" w:rsidSect="00550D6B">
          <w:footnotePr>
            <w:numStart w:val="2"/>
          </w:footnotePr>
          <w:pgSz w:w="12240" w:h="15840" w:code="1"/>
          <w:pgMar w:top="1080" w:right="1080" w:bottom="1080" w:left="1440" w:header="720" w:footer="720" w:gutter="0"/>
          <w:cols w:space="720"/>
        </w:sectPr>
      </w:pPr>
    </w:p>
    <w:p w:rsidR="00C25B16" w:rsidRPr="00B71D90" w:rsidRDefault="00C25B16" w:rsidP="00C25B16">
      <w:pPr>
        <w:pStyle w:val="Heading3"/>
        <w:pBdr>
          <w:top w:val="single" w:sz="4" w:space="2" w:color="auto"/>
          <w:bottom w:val="single" w:sz="4" w:space="2" w:color="auto"/>
        </w:pBdr>
        <w:spacing w:before="0"/>
      </w:pPr>
      <w:r w:rsidRPr="00B71D90">
        <w:lastRenderedPageBreak/>
        <w:t>IS 8.0</w:t>
      </w:r>
      <w:r w:rsidRPr="00B71D90">
        <w:tab/>
        <w:t>W</w:t>
      </w:r>
      <w:r w:rsidR="009933AB" w:rsidRPr="00B71D90">
        <w:t>ellness and Health Promotion Data</w:t>
      </w:r>
      <w:r w:rsidRPr="00B71D90">
        <w:t>—</w:t>
      </w:r>
      <w:r w:rsidR="00F3436E" w:rsidRPr="00B71D90">
        <w:rPr>
          <w:i/>
        </w:rPr>
        <w:t>WHP Audits</w:t>
      </w:r>
    </w:p>
    <w:p w:rsidR="006C4C7E" w:rsidRPr="00B71D90" w:rsidRDefault="00C25B16" w:rsidP="006C4C7E">
      <w:pPr>
        <w:pStyle w:val="StdText"/>
        <w:spacing w:before="140"/>
        <w:ind w:left="720" w:hanging="720"/>
      </w:pPr>
      <w:r w:rsidRPr="00B71D90">
        <w:t xml:space="preserve">IS </w:t>
      </w:r>
      <w:r w:rsidR="006C4C7E" w:rsidRPr="00B71D90">
        <w:t>8</w:t>
      </w:r>
      <w:r w:rsidRPr="00B71D90">
        <w:t>.1</w:t>
      </w:r>
      <w:r w:rsidRPr="00B71D90">
        <w:tab/>
      </w:r>
      <w:r w:rsidR="006F75F6" w:rsidRPr="00B71D90">
        <w:t>P</w:t>
      </w:r>
      <w:r w:rsidR="00416ACA" w:rsidRPr="00B71D90">
        <w:t xml:space="preserve">articipant eligibility </w:t>
      </w:r>
      <w:r w:rsidR="006C4C7E" w:rsidRPr="00B71D90">
        <w:t>data have necessary procedures to ensure accuracy.</w:t>
      </w:r>
    </w:p>
    <w:p w:rsidR="006C4C7E" w:rsidRPr="00B71D90" w:rsidRDefault="002E2D06" w:rsidP="006C4C7E">
      <w:pPr>
        <w:pStyle w:val="Bullet-1"/>
      </w:pPr>
      <w:r w:rsidRPr="00B71D90">
        <w:t xml:space="preserve">Policies and </w:t>
      </w:r>
      <w:r w:rsidR="006C4C7E" w:rsidRPr="00B71D90">
        <w:t xml:space="preserve">procedures for data </w:t>
      </w:r>
      <w:r w:rsidRPr="00B71D90">
        <w:t xml:space="preserve">transmission </w:t>
      </w:r>
      <w:r w:rsidR="006F75F6" w:rsidRPr="00B71D90">
        <w:t xml:space="preserve">from employers or plan sponsors </w:t>
      </w:r>
      <w:r w:rsidR="006C4C7E" w:rsidRPr="00B71D90">
        <w:t>ensure accuracy and completeness</w:t>
      </w:r>
      <w:r w:rsidR="00286A96">
        <w:t>.</w:t>
      </w:r>
    </w:p>
    <w:p w:rsidR="006C4C7E" w:rsidRPr="00B71D90" w:rsidRDefault="006C4C7E" w:rsidP="006C4C7E">
      <w:pPr>
        <w:pStyle w:val="Bullet-1"/>
      </w:pPr>
      <w:r w:rsidRPr="00B71D90">
        <w:t>Forms for additions, deletions and changes</w:t>
      </w:r>
      <w:r w:rsidR="002E2D06" w:rsidRPr="00B71D90">
        <w:t xml:space="preserve"> </w:t>
      </w:r>
      <w:r w:rsidRPr="00B71D90">
        <w:t xml:space="preserve">ensure that all fields relevant to reporting are included (refer to </w:t>
      </w:r>
      <w:r w:rsidR="002E2D06" w:rsidRPr="00B71D90">
        <w:t xml:space="preserve">WHP </w:t>
      </w:r>
      <w:r w:rsidRPr="00B71D90">
        <w:t xml:space="preserve">Roadmap Table </w:t>
      </w:r>
      <w:r w:rsidR="002E2D06" w:rsidRPr="00B71D90">
        <w:t>1</w:t>
      </w:r>
      <w:r w:rsidRPr="00B71D90">
        <w:t>.2)</w:t>
      </w:r>
      <w:r w:rsidR="00286A96">
        <w:t>.</w:t>
      </w:r>
    </w:p>
    <w:p w:rsidR="006C4C7E" w:rsidRPr="00B71D90" w:rsidRDefault="006C4C7E" w:rsidP="006C4C7E">
      <w:pPr>
        <w:pStyle w:val="Bullet-1"/>
      </w:pPr>
      <w:r w:rsidRPr="00B71D90">
        <w:t xml:space="preserve">Electronic file formats and protocols ensure capture of all data fields listed in the </w:t>
      </w:r>
      <w:r w:rsidR="005B6DDB" w:rsidRPr="00B71D90">
        <w:t xml:space="preserve">WHP </w:t>
      </w:r>
      <w:r w:rsidRPr="00B71D90">
        <w:t>Roadmap Table 2.2</w:t>
      </w:r>
      <w:r w:rsidR="00286A96">
        <w:t>.</w:t>
      </w:r>
    </w:p>
    <w:p w:rsidR="006C4C7E" w:rsidRPr="00B71D90" w:rsidRDefault="006C4C7E" w:rsidP="006C4C7E">
      <w:pPr>
        <w:pStyle w:val="Bullet-1"/>
      </w:pPr>
      <w:r w:rsidRPr="00B71D90">
        <w:t xml:space="preserve">Policies and procedures for </w:t>
      </w:r>
      <w:r w:rsidR="006F75F6" w:rsidRPr="00B71D90">
        <w:t xml:space="preserve">collecting </w:t>
      </w:r>
      <w:r w:rsidRPr="00B71D90">
        <w:t>electronic information should include evidence that:</w:t>
      </w:r>
    </w:p>
    <w:p w:rsidR="006C4C7E" w:rsidRPr="00B71D90" w:rsidRDefault="006C4C7E" w:rsidP="006C4C7E">
      <w:pPr>
        <w:pStyle w:val="Dash"/>
        <w:tabs>
          <w:tab w:val="clear" w:pos="792"/>
        </w:tabs>
        <w:ind w:left="1152"/>
      </w:pPr>
      <w:r w:rsidRPr="00B71D90">
        <w:t>The organization effectively monitors the quality and accuracy of its electronic submissions</w:t>
      </w:r>
      <w:r w:rsidR="00316E9D">
        <w:t>.</w:t>
      </w:r>
    </w:p>
    <w:p w:rsidR="006C4C7E" w:rsidRPr="00B71D90" w:rsidRDefault="006C4C7E" w:rsidP="006F75F6">
      <w:pPr>
        <w:pStyle w:val="Dash"/>
        <w:tabs>
          <w:tab w:val="clear" w:pos="792"/>
        </w:tabs>
        <w:ind w:left="1152"/>
      </w:pPr>
      <w:r w:rsidRPr="00B71D90">
        <w:t>The organization’s system can accommodate:</w:t>
      </w:r>
    </w:p>
    <w:p w:rsidR="006C4C7E" w:rsidRPr="00B71D90" w:rsidRDefault="006C4C7E" w:rsidP="00664C6E">
      <w:pPr>
        <w:pStyle w:val="Dash"/>
        <w:numPr>
          <w:ilvl w:val="2"/>
          <w:numId w:val="22"/>
        </w:numPr>
        <w:tabs>
          <w:tab w:val="clear" w:pos="1512"/>
        </w:tabs>
        <w:ind w:left="1440" w:hanging="216"/>
      </w:pPr>
      <w:r w:rsidRPr="00B71D90">
        <w:t>Changes in family status</w:t>
      </w:r>
      <w:r w:rsidR="00E95090">
        <w:t>.</w:t>
      </w:r>
    </w:p>
    <w:p w:rsidR="006C4C7E" w:rsidRPr="00B71D90" w:rsidRDefault="006C4C7E" w:rsidP="00664C6E">
      <w:pPr>
        <w:pStyle w:val="Dash"/>
        <w:numPr>
          <w:ilvl w:val="2"/>
          <w:numId w:val="22"/>
        </w:numPr>
        <w:tabs>
          <w:tab w:val="clear" w:pos="1512"/>
        </w:tabs>
        <w:ind w:left="1440" w:hanging="216"/>
      </w:pPr>
      <w:r w:rsidRPr="00B71D90">
        <w:t>Changes in employment</w:t>
      </w:r>
      <w:r w:rsidR="00E95090">
        <w:t>.</w:t>
      </w:r>
    </w:p>
    <w:p w:rsidR="006C4C7E" w:rsidRPr="00B71D90" w:rsidRDefault="006C4C7E" w:rsidP="00664C6E">
      <w:pPr>
        <w:pStyle w:val="Dash"/>
        <w:numPr>
          <w:ilvl w:val="2"/>
          <w:numId w:val="22"/>
        </w:numPr>
        <w:tabs>
          <w:tab w:val="clear" w:pos="1512"/>
        </w:tabs>
        <w:ind w:left="1440" w:hanging="216"/>
      </w:pPr>
      <w:r w:rsidRPr="00B71D90">
        <w:t>Changes in product</w:t>
      </w:r>
      <w:r w:rsidR="00E95090">
        <w:t>.</w:t>
      </w:r>
    </w:p>
    <w:p w:rsidR="006C4C7E" w:rsidRPr="00B71D90" w:rsidRDefault="006C4C7E" w:rsidP="00664C6E">
      <w:pPr>
        <w:pStyle w:val="Dash"/>
        <w:numPr>
          <w:ilvl w:val="2"/>
          <w:numId w:val="22"/>
        </w:numPr>
        <w:tabs>
          <w:tab w:val="clear" w:pos="1512"/>
        </w:tabs>
        <w:ind w:left="1440" w:hanging="216"/>
      </w:pPr>
      <w:r w:rsidRPr="00B71D90">
        <w:t>Methods for defining coverage start and end</w:t>
      </w:r>
      <w:r w:rsidR="00E95090">
        <w:t>.</w:t>
      </w:r>
    </w:p>
    <w:p w:rsidR="006C4C7E" w:rsidRPr="00B71D90" w:rsidRDefault="006C4C7E" w:rsidP="00664C6E">
      <w:pPr>
        <w:pStyle w:val="Dash"/>
        <w:numPr>
          <w:ilvl w:val="2"/>
          <w:numId w:val="22"/>
        </w:numPr>
        <w:tabs>
          <w:tab w:val="clear" w:pos="1512"/>
        </w:tabs>
        <w:ind w:left="1440" w:hanging="216"/>
      </w:pPr>
      <w:r w:rsidRPr="00B71D90">
        <w:t xml:space="preserve">Multiple status changes, including </w:t>
      </w:r>
      <w:r w:rsidR="002E2D06" w:rsidRPr="00B71D90">
        <w:t xml:space="preserve">eligibility </w:t>
      </w:r>
      <w:r w:rsidRPr="00B71D90">
        <w:t>periods and disenrollment information</w:t>
      </w:r>
      <w:r w:rsidR="00286A96">
        <w:t>.</w:t>
      </w:r>
    </w:p>
    <w:p w:rsidR="00416ACA" w:rsidRPr="00B71D90" w:rsidRDefault="002E2D06" w:rsidP="00416ACA">
      <w:pPr>
        <w:pStyle w:val="StdText"/>
        <w:ind w:left="720" w:hanging="720"/>
      </w:pPr>
      <w:r w:rsidRPr="00B71D90">
        <w:t>IS 8.2</w:t>
      </w:r>
      <w:r w:rsidR="00416ACA" w:rsidRPr="00B71D90">
        <w:tab/>
      </w:r>
      <w:r w:rsidRPr="00B71D90">
        <w:t xml:space="preserve">Health appraisal </w:t>
      </w:r>
      <w:r w:rsidR="00A16E94" w:rsidRPr="00B71D90">
        <w:t xml:space="preserve">forms and systems </w:t>
      </w:r>
      <w:r w:rsidR="00416ACA" w:rsidRPr="00B71D90">
        <w:t xml:space="preserve">capture all fields relevant to </w:t>
      </w:r>
      <w:r w:rsidRPr="00B71D90">
        <w:t xml:space="preserve">WHP </w:t>
      </w:r>
      <w:r w:rsidR="00416ACA" w:rsidRPr="00B71D90">
        <w:t xml:space="preserve">reporting. </w:t>
      </w:r>
    </w:p>
    <w:p w:rsidR="006F75F6" w:rsidRPr="00B71D90" w:rsidRDefault="00A27F8D" w:rsidP="00416ACA">
      <w:pPr>
        <w:pStyle w:val="Bullet-1"/>
      </w:pPr>
      <w:r w:rsidRPr="00B71D90">
        <w:t>The o</w:t>
      </w:r>
      <w:r w:rsidR="006F75F6" w:rsidRPr="00B71D90">
        <w:t>rganization ensures that the HAs have all required questions.</w:t>
      </w:r>
    </w:p>
    <w:p w:rsidR="00416ACA" w:rsidRPr="00B71D90" w:rsidRDefault="00416ACA" w:rsidP="00416ACA">
      <w:pPr>
        <w:pStyle w:val="Bullet-1"/>
      </w:pPr>
      <w:r w:rsidRPr="00B71D90">
        <w:t xml:space="preserve">Standard forms have completion instructions to verify that all fields relevant to </w:t>
      </w:r>
      <w:r w:rsidR="002E2D06" w:rsidRPr="00B71D90">
        <w:t xml:space="preserve">WHP </w:t>
      </w:r>
      <w:r w:rsidRPr="00B71D90">
        <w:t>reporting are included</w:t>
      </w:r>
      <w:r w:rsidR="006F75F6" w:rsidRPr="00B71D90">
        <w:t xml:space="preserve">, or </w:t>
      </w:r>
      <w:r w:rsidR="001A79A1">
        <w:t xml:space="preserve">the </w:t>
      </w:r>
      <w:r w:rsidR="006F75F6" w:rsidRPr="00B71D90">
        <w:t>organization ensures that the eligibility system</w:t>
      </w:r>
      <w:r w:rsidR="00FC63AF">
        <w:t xml:space="preserve"> contains</w:t>
      </w:r>
      <w:r w:rsidR="006F75F6" w:rsidRPr="00B71D90">
        <w:t xml:space="preserve"> </w:t>
      </w:r>
      <w:r w:rsidR="001A79A1">
        <w:t>require</w:t>
      </w:r>
      <w:r w:rsidR="00FC63AF">
        <w:t xml:space="preserve">d </w:t>
      </w:r>
      <w:r w:rsidR="006F75F6" w:rsidRPr="00B71D90">
        <w:t>data elements not included in the HA</w:t>
      </w:r>
      <w:r w:rsidR="00286A96">
        <w:t>.</w:t>
      </w:r>
    </w:p>
    <w:p w:rsidR="00416ACA" w:rsidRPr="00B71D90" w:rsidRDefault="00A27F8D" w:rsidP="00416ACA">
      <w:pPr>
        <w:pStyle w:val="Bullet-1"/>
      </w:pPr>
      <w:r w:rsidRPr="00B71D90">
        <w:t>The o</w:t>
      </w:r>
      <w:r w:rsidR="006F75F6" w:rsidRPr="00B71D90">
        <w:t>rganization has p</w:t>
      </w:r>
      <w:r w:rsidR="00416ACA" w:rsidRPr="00B71D90">
        <w:t xml:space="preserve">olicies and procedures for information </w:t>
      </w:r>
      <w:r w:rsidR="006F75F6" w:rsidRPr="00B71D90">
        <w:t xml:space="preserve">submitted </w:t>
      </w:r>
      <w:r w:rsidR="00416ACA" w:rsidRPr="00B71D90">
        <w:t>on electronic forms:</w:t>
      </w:r>
    </w:p>
    <w:p w:rsidR="00416ACA" w:rsidRPr="00B71D90" w:rsidRDefault="00416ACA" w:rsidP="00416ACA">
      <w:pPr>
        <w:pStyle w:val="Dash"/>
        <w:ind w:left="1152"/>
      </w:pPr>
      <w:r w:rsidRPr="00B71D90">
        <w:t>The organization effectively monitors the quality and accuracy of electronic submissions</w:t>
      </w:r>
      <w:r w:rsidR="00E95090">
        <w:t>.</w:t>
      </w:r>
    </w:p>
    <w:p w:rsidR="00416ACA" w:rsidRPr="00B71D90" w:rsidRDefault="00416ACA" w:rsidP="00416ACA">
      <w:pPr>
        <w:pStyle w:val="Dash"/>
        <w:ind w:left="1152"/>
      </w:pPr>
      <w:r w:rsidRPr="00B71D90">
        <w:t>Transmissions are properly controlled by logs, record count verification, redundancy checking receipts, retransmissions and sign-offs</w:t>
      </w:r>
      <w:r w:rsidR="00286A96">
        <w:t>.</w:t>
      </w:r>
    </w:p>
    <w:p w:rsidR="002E2D06" w:rsidRPr="00B71D90" w:rsidRDefault="002E2D06" w:rsidP="002E2D06">
      <w:pPr>
        <w:pStyle w:val="StdText"/>
        <w:ind w:left="720" w:hanging="720"/>
      </w:pPr>
      <w:r w:rsidRPr="00B71D90">
        <w:t>IS 8.3</w:t>
      </w:r>
      <w:r w:rsidRPr="00B71D90">
        <w:tab/>
        <w:t>W</w:t>
      </w:r>
      <w:r w:rsidR="00924DB9">
        <w:t>HP</w:t>
      </w:r>
      <w:r w:rsidRPr="00B71D90">
        <w:t xml:space="preserve"> intervention </w:t>
      </w:r>
      <w:r w:rsidR="001C5898" w:rsidRPr="00B71D90">
        <w:t xml:space="preserve">tools </w:t>
      </w:r>
      <w:r w:rsidR="00A16E94" w:rsidRPr="00B71D90">
        <w:t xml:space="preserve">and systems </w:t>
      </w:r>
      <w:r w:rsidRPr="00B71D90">
        <w:t xml:space="preserve">capture all </w:t>
      </w:r>
      <w:r w:rsidR="001C5898" w:rsidRPr="00B71D90">
        <w:t xml:space="preserve">data </w:t>
      </w:r>
      <w:r w:rsidRPr="00B71D90">
        <w:t xml:space="preserve">relevant to WHP reporting. </w:t>
      </w:r>
    </w:p>
    <w:p w:rsidR="002E2D06" w:rsidRPr="00B71D90" w:rsidRDefault="002E2D06" w:rsidP="002E2D06">
      <w:pPr>
        <w:pStyle w:val="Bullet-1"/>
      </w:pPr>
      <w:r w:rsidRPr="00B71D90">
        <w:t xml:space="preserve">Standard </w:t>
      </w:r>
      <w:r w:rsidR="001C5898" w:rsidRPr="00B71D90">
        <w:t>tools</w:t>
      </w:r>
      <w:r w:rsidRPr="00B71D90">
        <w:t xml:space="preserve"> </w:t>
      </w:r>
      <w:r w:rsidR="001C5898" w:rsidRPr="00B71D90">
        <w:t>capture evidence that the intervention meets measure requirements</w:t>
      </w:r>
      <w:r w:rsidR="00286A96">
        <w:t>.</w:t>
      </w:r>
    </w:p>
    <w:p w:rsidR="002E2D06" w:rsidRPr="00B71D90" w:rsidRDefault="002E2D06" w:rsidP="002E2D06">
      <w:pPr>
        <w:pStyle w:val="Bullet-1"/>
      </w:pPr>
      <w:r w:rsidRPr="00B71D90">
        <w:t xml:space="preserve">Policies and procedures for submitting information on electronic </w:t>
      </w:r>
      <w:r w:rsidR="001C5898" w:rsidRPr="00B71D90">
        <w:t xml:space="preserve">tools </w:t>
      </w:r>
      <w:r w:rsidRPr="00B71D90">
        <w:t>verify:</w:t>
      </w:r>
    </w:p>
    <w:p w:rsidR="002E2D06" w:rsidRPr="00B71D90" w:rsidRDefault="002E2D06" w:rsidP="002E2D06">
      <w:pPr>
        <w:pStyle w:val="Dash"/>
        <w:ind w:left="1152"/>
      </w:pPr>
      <w:r w:rsidRPr="00B71D90">
        <w:t>The organization effectively monitors the quality and accuracy of electronic submissions</w:t>
      </w:r>
      <w:r w:rsidR="00E95090">
        <w:t>.</w:t>
      </w:r>
    </w:p>
    <w:p w:rsidR="002E2D06" w:rsidRPr="00B71D90" w:rsidRDefault="002E2D06" w:rsidP="002E2D06">
      <w:pPr>
        <w:pStyle w:val="Dash"/>
        <w:ind w:left="1152"/>
      </w:pPr>
      <w:r w:rsidRPr="00B71D90">
        <w:t>Transmissions are properly controlled by logs, record count verification, redundancy checking receipts, retransmissions and sign-offs</w:t>
      </w:r>
      <w:r w:rsidR="00286A96">
        <w:t>.</w:t>
      </w:r>
    </w:p>
    <w:p w:rsidR="00416ACA" w:rsidRPr="00B71D90" w:rsidRDefault="00F3436E" w:rsidP="00416ACA">
      <w:pPr>
        <w:pStyle w:val="StdText"/>
        <w:ind w:left="720" w:hanging="720"/>
      </w:pPr>
      <w:r w:rsidRPr="00B71D90">
        <w:t>IS 8</w:t>
      </w:r>
      <w:r w:rsidR="00316E9D">
        <w:t>.</w:t>
      </w:r>
      <w:r w:rsidR="00B412CD" w:rsidRPr="00B71D90">
        <w:t>4</w:t>
      </w:r>
      <w:r w:rsidR="00416ACA" w:rsidRPr="00B71D90">
        <w:tab/>
        <w:t xml:space="preserve">Data transfers to </w:t>
      </w:r>
      <w:r w:rsidRPr="00B71D90">
        <w:t xml:space="preserve">WHP </w:t>
      </w:r>
      <w:r w:rsidR="00416ACA" w:rsidRPr="00B71D90">
        <w:t>repository are accurate</w:t>
      </w:r>
      <w:r w:rsidR="00A16E94" w:rsidRPr="00B71D90">
        <w:t xml:space="preserve"> and repository structure and formatting are suitable for WHP measure production.</w:t>
      </w:r>
    </w:p>
    <w:p w:rsidR="00416ACA" w:rsidRPr="00B71D90" w:rsidRDefault="00416ACA" w:rsidP="00416ACA">
      <w:pPr>
        <w:pStyle w:val="Bullet-1"/>
      </w:pPr>
      <w:r w:rsidRPr="00B71D90">
        <w:t>Standard monitoring reports for all operations personnel, including IS staff and hardware operations verify that the organization effectively monitors the quality</w:t>
      </w:r>
      <w:r w:rsidR="00E95090">
        <w:t>, and accuracy of its processes:</w:t>
      </w:r>
    </w:p>
    <w:p w:rsidR="00637D57" w:rsidRPr="00B71D90" w:rsidRDefault="00637D57" w:rsidP="00637D57">
      <w:pPr>
        <w:pStyle w:val="Dash"/>
        <w:ind w:left="1152"/>
      </w:pPr>
      <w:r w:rsidRPr="00B71D90">
        <w:t>Transmissions are properly controlled by logs, record count verification, redundancy checking receipts, retransmissions and sign-offs</w:t>
      </w:r>
      <w:r w:rsidR="00286A96">
        <w:t>.</w:t>
      </w:r>
    </w:p>
    <w:p w:rsidR="00637D57" w:rsidRPr="00B71D90" w:rsidRDefault="00637D57" w:rsidP="00416ACA">
      <w:pPr>
        <w:pStyle w:val="Bullet-1"/>
      </w:pPr>
      <w:r w:rsidRPr="00B71D90">
        <w:t>Training materials and procedure manuals for operator staff ensure accuracy and completeness</w:t>
      </w:r>
      <w:r w:rsidR="00286A96">
        <w:t>.</w:t>
      </w:r>
      <w:r w:rsidRPr="00B71D90">
        <w:t xml:space="preserve"> </w:t>
      </w:r>
    </w:p>
    <w:p w:rsidR="00350E31" w:rsidRDefault="00416ACA" w:rsidP="00416ACA">
      <w:pPr>
        <w:pStyle w:val="Bullet-1"/>
        <w:sectPr w:rsidR="00350E31" w:rsidSect="00550D6B">
          <w:footnotePr>
            <w:numStart w:val="2"/>
          </w:footnotePr>
          <w:pgSz w:w="12240" w:h="15840" w:code="1"/>
          <w:pgMar w:top="1080" w:right="1080" w:bottom="1080" w:left="1440" w:header="720" w:footer="720" w:gutter="0"/>
          <w:cols w:space="720"/>
        </w:sectPr>
      </w:pPr>
      <w:r w:rsidRPr="00B71D90">
        <w:t>Flowcharts describe data from all sources (</w:t>
      </w:r>
      <w:r w:rsidR="00B23343">
        <w:t xml:space="preserve">refer to </w:t>
      </w:r>
      <w:r w:rsidR="00F3436E" w:rsidRPr="00B71D90">
        <w:t xml:space="preserve">WHP </w:t>
      </w:r>
      <w:r w:rsidRPr="00B71D90">
        <w:t>Roadmap</w:t>
      </w:r>
      <w:r w:rsidR="00F3436E" w:rsidRPr="00B71D90">
        <w:t xml:space="preserve"> </w:t>
      </w:r>
      <w:r w:rsidR="00A27F8D" w:rsidRPr="00B71D90">
        <w:t>A</w:t>
      </w:r>
      <w:r w:rsidR="00F3436E" w:rsidRPr="00B71D90">
        <w:t>ttachment 4</w:t>
      </w:r>
      <w:r w:rsidRPr="00B71D90">
        <w:t>.1)</w:t>
      </w:r>
      <w:r w:rsidR="00286A96">
        <w:t>.</w:t>
      </w:r>
    </w:p>
    <w:p w:rsidR="00416ACA" w:rsidRPr="00B71D90" w:rsidRDefault="00416ACA" w:rsidP="00201E32">
      <w:pPr>
        <w:pStyle w:val="Bullet-1"/>
        <w:spacing w:before="0"/>
      </w:pPr>
      <w:r w:rsidRPr="00B71D90">
        <w:lastRenderedPageBreak/>
        <w:t xml:space="preserve">Policies and procedures document building, maintaining, testing </w:t>
      </w:r>
      <w:r w:rsidR="001C5898" w:rsidRPr="00B71D90">
        <w:t xml:space="preserve">of </w:t>
      </w:r>
      <w:r w:rsidRPr="00B71D90">
        <w:t>and reporting fr</w:t>
      </w:r>
      <w:r w:rsidR="001C5898" w:rsidRPr="00B71D90">
        <w:t>om</w:t>
      </w:r>
      <w:r w:rsidRPr="00B71D90">
        <w:t xml:space="preserve"> the </w:t>
      </w:r>
      <w:r w:rsidR="00F3436E" w:rsidRPr="00B71D90">
        <w:t xml:space="preserve">WHP </w:t>
      </w:r>
      <w:r w:rsidRPr="00B71D90">
        <w:t>repository</w:t>
      </w:r>
      <w:r w:rsidR="00286A96">
        <w:t>.</w:t>
      </w:r>
    </w:p>
    <w:p w:rsidR="00416ACA" w:rsidRPr="00B71D90" w:rsidRDefault="00416ACA" w:rsidP="00416ACA">
      <w:pPr>
        <w:pStyle w:val="Bullet-1"/>
      </w:pPr>
      <w:r w:rsidRPr="00B71D90">
        <w:t>Electronic file formats and protocols ensure capture of all data fields</w:t>
      </w:r>
      <w:r w:rsidR="00286A96">
        <w:t>.</w:t>
      </w:r>
    </w:p>
    <w:p w:rsidR="00637D57" w:rsidRPr="00B71D90" w:rsidRDefault="00637D57" w:rsidP="00637D57">
      <w:pPr>
        <w:pStyle w:val="Bullet-1"/>
      </w:pPr>
      <w:r w:rsidRPr="00B71D90">
        <w:t>WHP repository data produce the intended result</w:t>
      </w:r>
      <w:r w:rsidR="00286A96">
        <w:t>.</w:t>
      </w:r>
    </w:p>
    <w:p w:rsidR="00416ACA" w:rsidRPr="00B71D90" w:rsidRDefault="00416ACA" w:rsidP="00416ACA">
      <w:pPr>
        <w:pStyle w:val="StdText"/>
        <w:ind w:left="720" w:hanging="720"/>
      </w:pPr>
      <w:r w:rsidRPr="00B71D90">
        <w:t xml:space="preserve">IS </w:t>
      </w:r>
      <w:r w:rsidR="00F3436E" w:rsidRPr="00B71D90">
        <w:t>8</w:t>
      </w:r>
      <w:r w:rsidRPr="00B71D90">
        <w:t>.</w:t>
      </w:r>
      <w:r w:rsidR="00B412CD" w:rsidRPr="00B71D90">
        <w:t>5</w:t>
      </w:r>
      <w:r w:rsidRPr="00B71D90">
        <w:tab/>
        <w:t xml:space="preserve">Physical control procedures ensure </w:t>
      </w:r>
      <w:r w:rsidR="00F3436E" w:rsidRPr="00B71D90">
        <w:t xml:space="preserve">WHP </w:t>
      </w:r>
      <w:r w:rsidRPr="00B71D90">
        <w:t>data integrity such as physical security, data access authorization, disaster recovery facilities and fire protection.</w:t>
      </w:r>
    </w:p>
    <w:p w:rsidR="00416ACA" w:rsidRPr="00B71D90" w:rsidRDefault="00F3436E" w:rsidP="00416ACA">
      <w:pPr>
        <w:pStyle w:val="Bullet-1"/>
      </w:pPr>
      <w:r w:rsidRPr="00B71D90">
        <w:t xml:space="preserve">WHP </w:t>
      </w:r>
      <w:r w:rsidR="00416ACA" w:rsidRPr="00B71D90">
        <w:t xml:space="preserve">repository computer operations and system security schemes, documentation and procedures ensure that data are not compromised by physical security, data access authorization, disaster recovery procedures, power failures, fire or smoke (refer to </w:t>
      </w:r>
      <w:r w:rsidRPr="00B71D90">
        <w:t xml:space="preserve">WHP </w:t>
      </w:r>
      <w:r w:rsidR="00416ACA" w:rsidRPr="00B71D90">
        <w:t>Roadmap</w:t>
      </w:r>
      <w:r w:rsidRPr="00B71D90">
        <w:t xml:space="preserve"> </w:t>
      </w:r>
      <w:r w:rsidR="00A27F8D" w:rsidRPr="00B71D90">
        <w:t>A</w:t>
      </w:r>
      <w:r w:rsidRPr="00B71D90">
        <w:t>ttachment 4.3</w:t>
      </w:r>
      <w:r w:rsidR="00416ACA" w:rsidRPr="00B71D90">
        <w:t>).</w:t>
      </w:r>
    </w:p>
    <w:p w:rsidR="00416ACA" w:rsidRPr="00B71D90" w:rsidRDefault="00416ACA" w:rsidP="00416ACA">
      <w:pPr>
        <w:pStyle w:val="Bullet-1"/>
      </w:pPr>
      <w:r w:rsidRPr="00B71D90">
        <w:t>Adequate copies of the repository and documentation are maintained</w:t>
      </w:r>
      <w:r w:rsidR="00286A96">
        <w:t>.</w:t>
      </w:r>
    </w:p>
    <w:p w:rsidR="00416ACA" w:rsidRPr="00B71D90" w:rsidRDefault="00416ACA" w:rsidP="00416ACA">
      <w:pPr>
        <w:pStyle w:val="Bullet-1"/>
      </w:pPr>
      <w:r w:rsidRPr="00B71D90">
        <w:t>Policy, procedures and log forms for monitoring control, security hardware functions, hardware activities, back-ups, recovery, archiving, capacity, physical states and access are available for review</w:t>
      </w:r>
      <w:r w:rsidR="00286A96">
        <w:t>.</w:t>
      </w:r>
    </w:p>
    <w:p w:rsidR="000E6035" w:rsidRPr="00B71D90" w:rsidRDefault="000E6035" w:rsidP="000E6035">
      <w:pPr>
        <w:pStyle w:val="Bullet"/>
        <w:sectPr w:rsidR="000E6035" w:rsidRPr="00B71D90" w:rsidSect="00550D6B">
          <w:footnotePr>
            <w:numStart w:val="2"/>
          </w:footnotePr>
          <w:pgSz w:w="12240" w:h="15840" w:code="1"/>
          <w:pgMar w:top="1080" w:right="1080" w:bottom="1080" w:left="1440" w:header="720" w:footer="720" w:gutter="0"/>
          <w:cols w:space="720"/>
        </w:sectPr>
      </w:pPr>
    </w:p>
    <w:p w:rsidR="004B74E0" w:rsidRPr="00B71D90" w:rsidRDefault="004B74E0" w:rsidP="004B74E0">
      <w:pPr>
        <w:pStyle w:val="Heading3"/>
        <w:pBdr>
          <w:top w:val="single" w:sz="4" w:space="2" w:color="auto"/>
          <w:bottom w:val="single" w:sz="4" w:space="2" w:color="auto"/>
        </w:pBdr>
        <w:spacing w:before="0"/>
      </w:pPr>
      <w:r w:rsidRPr="00B71D90">
        <w:lastRenderedPageBreak/>
        <w:t>IS 9.0</w:t>
      </w:r>
      <w:r w:rsidRPr="00B71D90">
        <w:tab/>
        <w:t>Disease Management Data—</w:t>
      </w:r>
      <w:r w:rsidRPr="00B71D90">
        <w:rPr>
          <w:i/>
        </w:rPr>
        <w:t>DM</w:t>
      </w:r>
      <w:r w:rsidRPr="00B71D90">
        <w:t xml:space="preserve"> </w:t>
      </w:r>
      <w:r w:rsidRPr="00B71D90">
        <w:rPr>
          <w:i/>
        </w:rPr>
        <w:t>Audits</w:t>
      </w:r>
    </w:p>
    <w:p w:rsidR="007B7CBB" w:rsidRPr="00B71D90" w:rsidRDefault="00327BED" w:rsidP="001A79A1">
      <w:pPr>
        <w:pStyle w:val="StdText"/>
        <w:ind w:left="720" w:hanging="720"/>
      </w:pPr>
      <w:r w:rsidRPr="00B71D90">
        <w:t>IS 9</w:t>
      </w:r>
      <w:r w:rsidR="004B74E0" w:rsidRPr="00B71D90">
        <w:t>.1</w:t>
      </w:r>
      <w:r w:rsidR="004B74E0" w:rsidRPr="00B71D90">
        <w:tab/>
      </w:r>
      <w:r w:rsidRPr="00B71D90">
        <w:t xml:space="preserve">Medical </w:t>
      </w:r>
      <w:r w:rsidR="004B74E0" w:rsidRPr="00B71D90">
        <w:t>Services Data—Sound Coding Methods and Data Capture, Transfer and Entry</w:t>
      </w:r>
      <w:r w:rsidR="00316E9D">
        <w:t>.</w:t>
      </w:r>
    </w:p>
    <w:p w:rsidR="00327BED" w:rsidRPr="00B71D90" w:rsidRDefault="00327BED" w:rsidP="001A79A1">
      <w:pPr>
        <w:pStyle w:val="Bullet-1"/>
        <w:tabs>
          <w:tab w:val="clear" w:pos="576"/>
        </w:tabs>
      </w:pPr>
      <w:r w:rsidRPr="00B71D90">
        <w:t>Industry standard codes (e.g., ICD-9-CM, CPT, DRG, HCPCS) are used and all characters are captured.</w:t>
      </w:r>
    </w:p>
    <w:p w:rsidR="00327BED" w:rsidRPr="00B71D90" w:rsidRDefault="00327BED" w:rsidP="001A79A1">
      <w:pPr>
        <w:pStyle w:val="Bullet-1"/>
        <w:tabs>
          <w:tab w:val="clear" w:pos="576"/>
        </w:tabs>
      </w:pPr>
      <w:r w:rsidRPr="00B71D90">
        <w:t>Principal codes are identified and secondary codes are captured.</w:t>
      </w:r>
    </w:p>
    <w:p w:rsidR="00327BED" w:rsidRPr="00B71D90" w:rsidRDefault="00327BED" w:rsidP="001A79A1">
      <w:pPr>
        <w:pStyle w:val="Bullet-1"/>
        <w:tabs>
          <w:tab w:val="clear" w:pos="576"/>
        </w:tabs>
      </w:pPr>
      <w:r w:rsidRPr="00B71D90">
        <w:t>Nonstandard coding schemes are fully documented and mapped back to industry standard codes.</w:t>
      </w:r>
    </w:p>
    <w:p w:rsidR="00327BED" w:rsidRPr="00B71D90" w:rsidRDefault="00327BED" w:rsidP="001A79A1">
      <w:pPr>
        <w:pStyle w:val="Bullet-1"/>
        <w:tabs>
          <w:tab w:val="clear" w:pos="576"/>
        </w:tabs>
      </w:pPr>
      <w:r w:rsidRPr="00B71D90">
        <w:t>Standard submission forms are used and capture all fields relevant to measure reporting. All proprietary forms capture equivalent data. Electronic transmission procedures conform to industry standards.</w:t>
      </w:r>
    </w:p>
    <w:p w:rsidR="00327BED" w:rsidRPr="00B71D90" w:rsidRDefault="00327BED" w:rsidP="001A79A1">
      <w:pPr>
        <w:pStyle w:val="Bullet-1"/>
        <w:tabs>
          <w:tab w:val="clear" w:pos="576"/>
        </w:tabs>
      </w:pPr>
      <w:r w:rsidRPr="00B71D90">
        <w:t>Data entry processes are timely and accurate and include sufficient edit checks to ensure accurate entry of submitted data in transaction files for measure reporting.</w:t>
      </w:r>
    </w:p>
    <w:p w:rsidR="00247397" w:rsidRPr="00B71D90" w:rsidRDefault="00247397" w:rsidP="001A79A1">
      <w:pPr>
        <w:pStyle w:val="Bullet-1"/>
        <w:tabs>
          <w:tab w:val="clear" w:pos="576"/>
        </w:tabs>
      </w:pPr>
      <w:r w:rsidRPr="00B71D90">
        <w:t>The organization continually assesses data completeness and takes steps to improve performance.</w:t>
      </w:r>
    </w:p>
    <w:p w:rsidR="00247397" w:rsidRPr="00B71D90" w:rsidRDefault="00247397" w:rsidP="001A79A1">
      <w:pPr>
        <w:pStyle w:val="Bullet-1"/>
        <w:tabs>
          <w:tab w:val="clear" w:pos="576"/>
        </w:tabs>
      </w:pPr>
      <w:r w:rsidRPr="00B71D90">
        <w:t>The organization regularly monitors vendor performance against expected performance standards.</w:t>
      </w:r>
    </w:p>
    <w:p w:rsidR="00247397" w:rsidRPr="00B71D90" w:rsidRDefault="00247397" w:rsidP="001A79A1">
      <w:pPr>
        <w:pStyle w:val="StdText"/>
        <w:ind w:left="720" w:hanging="720"/>
      </w:pPr>
      <w:r w:rsidRPr="00B71D90">
        <w:t>IS 9.2</w:t>
      </w:r>
      <w:r w:rsidRPr="00B71D90">
        <w:tab/>
        <w:t>DM eligibility data have necessary procedures to ensure accuracy.</w:t>
      </w:r>
    </w:p>
    <w:p w:rsidR="00247397" w:rsidRPr="00B71D90" w:rsidRDefault="00247397" w:rsidP="00247397">
      <w:pPr>
        <w:pStyle w:val="Bullet-1"/>
      </w:pPr>
      <w:r w:rsidRPr="00B71D90">
        <w:t>Policies and procedures for data transmission from employers or plan sponsors ensure accuracy and completeness</w:t>
      </w:r>
      <w:r w:rsidR="00286A96">
        <w:t>.</w:t>
      </w:r>
    </w:p>
    <w:p w:rsidR="00247397" w:rsidRPr="00B71D90" w:rsidRDefault="00247397" w:rsidP="00247397">
      <w:pPr>
        <w:pStyle w:val="Bullet-1"/>
      </w:pPr>
      <w:r w:rsidRPr="00B71D90">
        <w:t>Forms for additions, deletions and changes ensure that all fields relevant to reporting are included (refer to DM Roadmap T</w:t>
      </w:r>
      <w:r w:rsidR="00641AD1" w:rsidRPr="00B71D90">
        <w:t>able 2</w:t>
      </w:r>
      <w:r w:rsidRPr="00B71D90">
        <w:t>.2)</w:t>
      </w:r>
      <w:r w:rsidR="00286A96">
        <w:t>.</w:t>
      </w:r>
    </w:p>
    <w:p w:rsidR="00247397" w:rsidRPr="00B71D90" w:rsidRDefault="00247397" w:rsidP="00247397">
      <w:pPr>
        <w:pStyle w:val="Bullet-1"/>
      </w:pPr>
      <w:r w:rsidRPr="00B71D90">
        <w:t xml:space="preserve">Electronic file formats and protocols ensure capture of all data fields listed in DM Roadmap </w:t>
      </w:r>
      <w:r w:rsidR="00924DB9">
        <w:br/>
      </w:r>
      <w:r w:rsidRPr="00B71D90">
        <w:t>Table 2.2</w:t>
      </w:r>
      <w:r w:rsidR="00286A96">
        <w:t>.</w:t>
      </w:r>
    </w:p>
    <w:p w:rsidR="00247397" w:rsidRPr="00B71D90" w:rsidRDefault="00247397" w:rsidP="00247397">
      <w:pPr>
        <w:pStyle w:val="Bullet-1"/>
      </w:pPr>
      <w:r w:rsidRPr="00B71D90">
        <w:t>Policies and procedures for collecting electronic information should include evidence that:</w:t>
      </w:r>
    </w:p>
    <w:p w:rsidR="00247397" w:rsidRPr="00B71D90" w:rsidRDefault="00247397" w:rsidP="00247397">
      <w:pPr>
        <w:pStyle w:val="Dash"/>
        <w:tabs>
          <w:tab w:val="clear" w:pos="792"/>
        </w:tabs>
        <w:ind w:left="1152"/>
      </w:pPr>
      <w:r w:rsidRPr="00B71D90">
        <w:t>The organization effectively monitors the quality and accuracy of its electronic submissions</w:t>
      </w:r>
      <w:r w:rsidR="000748F7">
        <w:t>.</w:t>
      </w:r>
    </w:p>
    <w:p w:rsidR="00247397" w:rsidRPr="00B71D90" w:rsidRDefault="00247397" w:rsidP="00247397">
      <w:pPr>
        <w:pStyle w:val="Dash"/>
        <w:tabs>
          <w:tab w:val="clear" w:pos="792"/>
        </w:tabs>
        <w:ind w:left="1152"/>
      </w:pPr>
      <w:r w:rsidRPr="00B71D90">
        <w:t>The organization’s system can accommodate</w:t>
      </w:r>
      <w:r w:rsidR="008D6412" w:rsidRPr="00B71D90">
        <w:t xml:space="preserve"> changes.</w:t>
      </w:r>
    </w:p>
    <w:p w:rsidR="008D6412" w:rsidRPr="00B71D90" w:rsidRDefault="008D6412" w:rsidP="008D6412">
      <w:pPr>
        <w:pStyle w:val="StdText"/>
        <w:ind w:left="720" w:hanging="720"/>
      </w:pPr>
      <w:r w:rsidRPr="00B71D90">
        <w:t>IS 9.3</w:t>
      </w:r>
      <w:r w:rsidRPr="00B71D90">
        <w:tab/>
        <w:t xml:space="preserve">DM registry tools and systems capture all data relevant to reporting. </w:t>
      </w:r>
    </w:p>
    <w:p w:rsidR="008D6412" w:rsidRPr="00B71D90" w:rsidRDefault="00FB32AE" w:rsidP="008D6412">
      <w:pPr>
        <w:pStyle w:val="Bullet-1"/>
      </w:pPr>
      <w:r w:rsidRPr="00B71D90">
        <w:t xml:space="preserve">DM </w:t>
      </w:r>
      <w:r w:rsidR="008D6412" w:rsidRPr="00B71D90">
        <w:t xml:space="preserve">tools capture evidence that the </w:t>
      </w:r>
      <w:r w:rsidR="008076B1" w:rsidRPr="00B71D90">
        <w:t>service</w:t>
      </w:r>
      <w:r w:rsidRPr="00B71D90">
        <w:t xml:space="preserve"> </w:t>
      </w:r>
      <w:r w:rsidR="008D6412" w:rsidRPr="00B71D90">
        <w:t>meets measure requirements</w:t>
      </w:r>
      <w:r w:rsidRPr="00B71D90">
        <w:t>.</w:t>
      </w:r>
    </w:p>
    <w:p w:rsidR="008D6412" w:rsidRPr="00B71D90" w:rsidRDefault="008D6412" w:rsidP="008D6412">
      <w:pPr>
        <w:pStyle w:val="Bullet-1"/>
      </w:pPr>
      <w:r w:rsidRPr="00B71D90">
        <w:t>Policies and procedures for submitting information on electronic tools verify:</w:t>
      </w:r>
    </w:p>
    <w:p w:rsidR="008D6412" w:rsidRPr="00B71D90" w:rsidRDefault="008D6412" w:rsidP="008D6412">
      <w:pPr>
        <w:pStyle w:val="Dash"/>
        <w:ind w:left="1152"/>
      </w:pPr>
      <w:r w:rsidRPr="00B71D90">
        <w:t>The organization effectively monitors the quality and accuracy of electronic submissions</w:t>
      </w:r>
      <w:r w:rsidR="000748F7">
        <w:t>.</w:t>
      </w:r>
    </w:p>
    <w:p w:rsidR="008D6412" w:rsidRPr="00B71D90" w:rsidRDefault="008D6412" w:rsidP="008D6412">
      <w:pPr>
        <w:pStyle w:val="Dash"/>
        <w:ind w:left="1152"/>
      </w:pPr>
      <w:r w:rsidRPr="00B71D90">
        <w:t>Transmissions are properly controlled by logs, record count verification, redundancy checking receipts, retransmissions and sign-offs</w:t>
      </w:r>
      <w:r w:rsidR="00286A96">
        <w:t>.</w:t>
      </w:r>
    </w:p>
    <w:p w:rsidR="00327BED" w:rsidRPr="00B71D90" w:rsidRDefault="00C82DCE" w:rsidP="001A79A1">
      <w:pPr>
        <w:pStyle w:val="Body"/>
        <w:ind w:left="720" w:hanging="720"/>
        <w:rPr>
          <w:b/>
        </w:rPr>
      </w:pPr>
      <w:r w:rsidRPr="00B71D90">
        <w:rPr>
          <w:b/>
        </w:rPr>
        <w:t>IS 9.4</w:t>
      </w:r>
      <w:r w:rsidRPr="00B71D90">
        <w:rPr>
          <w:b/>
        </w:rPr>
        <w:tab/>
        <w:t xml:space="preserve">Supplemental </w:t>
      </w:r>
      <w:r w:rsidR="00924DB9">
        <w:rPr>
          <w:b/>
        </w:rPr>
        <w:t>D</w:t>
      </w:r>
      <w:r w:rsidRPr="00B71D90">
        <w:rPr>
          <w:b/>
        </w:rPr>
        <w:t>ata—Capture, Transfer and Entry</w:t>
      </w:r>
      <w:r w:rsidR="00316E9D">
        <w:rPr>
          <w:b/>
        </w:rPr>
        <w:t>.</w:t>
      </w:r>
    </w:p>
    <w:p w:rsidR="008637BB" w:rsidRPr="00B71D90" w:rsidRDefault="008076B1">
      <w:pPr>
        <w:pStyle w:val="Bullet-1"/>
      </w:pPr>
      <w:r w:rsidRPr="00B71D90">
        <w:t>Nonstandard coding schemes are fully documented and mapped to industry standard codes.</w:t>
      </w:r>
    </w:p>
    <w:p w:rsidR="008637BB" w:rsidRPr="00B71D90" w:rsidRDefault="008076B1">
      <w:pPr>
        <w:pStyle w:val="Bullet-1"/>
      </w:pPr>
      <w:r w:rsidRPr="00B71D90">
        <w:t>The organization has effective procedures for submitting measure-relevant information for data entry. Electronic transmissions of data have checking procedures to ensure accuracy.</w:t>
      </w:r>
    </w:p>
    <w:p w:rsidR="008637BB" w:rsidRPr="00B71D90" w:rsidRDefault="00402D75">
      <w:pPr>
        <w:pStyle w:val="Bullet-1"/>
      </w:pPr>
      <w:r w:rsidRPr="00B71D90">
        <w:t>Data entry processes are timely and accurate and include edit checks to ensure accurate entry of submitted data in transaction files.</w:t>
      </w:r>
    </w:p>
    <w:p w:rsidR="00736553" w:rsidRDefault="00736553" w:rsidP="00736553">
      <w:pPr>
        <w:pStyle w:val="Body"/>
        <w:spacing w:before="120"/>
        <w:rPr>
          <w:sz w:val="18"/>
          <w:szCs w:val="18"/>
        </w:rPr>
      </w:pPr>
    </w:p>
    <w:p w:rsidR="00736553" w:rsidRDefault="00736553" w:rsidP="00736553">
      <w:pPr>
        <w:pStyle w:val="Body"/>
        <w:spacing w:before="120"/>
        <w:rPr>
          <w:sz w:val="18"/>
          <w:szCs w:val="18"/>
        </w:rPr>
      </w:pPr>
    </w:p>
    <w:p w:rsidR="00736553" w:rsidRPr="00736553" w:rsidRDefault="00736553" w:rsidP="00736553">
      <w:pPr>
        <w:pStyle w:val="Body"/>
        <w:spacing w:before="120"/>
        <w:rPr>
          <w:sz w:val="18"/>
          <w:szCs w:val="18"/>
        </w:rPr>
      </w:pPr>
      <w:r w:rsidRPr="00736553">
        <w:rPr>
          <w:sz w:val="18"/>
          <w:szCs w:val="18"/>
        </w:rPr>
        <w:t>_____________</w:t>
      </w:r>
    </w:p>
    <w:p w:rsidR="00736553" w:rsidRPr="00736553" w:rsidRDefault="00736553" w:rsidP="00736553">
      <w:pPr>
        <w:pStyle w:val="Body"/>
        <w:spacing w:before="120"/>
        <w:rPr>
          <w:sz w:val="18"/>
          <w:szCs w:val="18"/>
        </w:rPr>
        <w:sectPr w:rsidR="00736553" w:rsidRPr="00736553" w:rsidSect="008A4508">
          <w:pgSz w:w="12240" w:h="15840" w:code="1"/>
          <w:pgMar w:top="1080" w:right="1080" w:bottom="1080" w:left="1440" w:header="720" w:footer="720" w:gutter="0"/>
          <w:cols w:space="720"/>
        </w:sectPr>
      </w:pPr>
      <w:r w:rsidRPr="00736553">
        <w:rPr>
          <w:sz w:val="18"/>
          <w:szCs w:val="18"/>
        </w:rPr>
        <w:t>Current Procedural Terminology © 201</w:t>
      </w:r>
      <w:r w:rsidR="007D40AB">
        <w:rPr>
          <w:sz w:val="18"/>
          <w:szCs w:val="18"/>
        </w:rPr>
        <w:t>2</w:t>
      </w:r>
      <w:r w:rsidRPr="00736553">
        <w:rPr>
          <w:sz w:val="18"/>
          <w:szCs w:val="18"/>
        </w:rPr>
        <w:t xml:space="preserve"> American Medical Association. All rights reserved.</w:t>
      </w:r>
    </w:p>
    <w:p w:rsidR="00736553" w:rsidRPr="00B71D90" w:rsidRDefault="00736553" w:rsidP="00736553">
      <w:pPr>
        <w:pStyle w:val="Bullet-1"/>
        <w:spacing w:before="0"/>
      </w:pPr>
      <w:r w:rsidRPr="00B71D90">
        <w:lastRenderedPageBreak/>
        <w:t>The organization continually assesses data completeness and takes steps to improve performance.</w:t>
      </w:r>
    </w:p>
    <w:p w:rsidR="00736553" w:rsidRDefault="00736553" w:rsidP="00736553">
      <w:pPr>
        <w:pStyle w:val="Bullet-1"/>
      </w:pPr>
      <w:r w:rsidRPr="00B71D90">
        <w:t>The organization regularly monitors vendor performance against expected performance standards.</w:t>
      </w:r>
    </w:p>
    <w:p w:rsidR="005D7AE8" w:rsidRPr="00B71D90" w:rsidRDefault="00316E9D" w:rsidP="00924DB9">
      <w:pPr>
        <w:pStyle w:val="StdText"/>
        <w:ind w:left="720" w:hanging="720"/>
      </w:pPr>
      <w:r>
        <w:t>IS 9.</w:t>
      </w:r>
      <w:r w:rsidR="005D7AE8" w:rsidRPr="00B71D90">
        <w:t>5</w:t>
      </w:r>
      <w:r w:rsidR="005D7AE8" w:rsidRPr="00B71D90">
        <w:tab/>
        <w:t>Data transfers to DM repository are accurate and repository structure and formatting are suitable for DM measure production.</w:t>
      </w:r>
    </w:p>
    <w:p w:rsidR="005D7AE8" w:rsidRPr="00B71D90" w:rsidRDefault="005D7AE8" w:rsidP="005D7AE8">
      <w:pPr>
        <w:pStyle w:val="Bullet-1"/>
      </w:pPr>
      <w:r w:rsidRPr="00B71D90">
        <w:t>Standard monitoring reports for all operations personnel, including IS staff and hardware operations verify that the organization effectively monitors the quality</w:t>
      </w:r>
      <w:r w:rsidR="00BB4DB1">
        <w:t xml:space="preserve"> and accuracy of its processes.</w:t>
      </w:r>
    </w:p>
    <w:p w:rsidR="005D7AE8" w:rsidRPr="00B71D90" w:rsidRDefault="005D7AE8" w:rsidP="00BB4DB1">
      <w:pPr>
        <w:pStyle w:val="Bullet-1"/>
      </w:pPr>
      <w:r w:rsidRPr="00B71D90">
        <w:t>Transmissions are properly controlled by logs, record count verification, redundancy checking receipts, retransmissions and sign-offs</w:t>
      </w:r>
      <w:r w:rsidR="00BB4DB1">
        <w:t>.</w:t>
      </w:r>
    </w:p>
    <w:p w:rsidR="005D7AE8" w:rsidRPr="00B71D90" w:rsidRDefault="005D7AE8" w:rsidP="005D7AE8">
      <w:pPr>
        <w:pStyle w:val="Bullet-1"/>
      </w:pPr>
      <w:r w:rsidRPr="00B71D90">
        <w:t>Training materials and procedure manuals for operator staff e</w:t>
      </w:r>
      <w:r w:rsidR="00BB4DB1">
        <w:t>nsure accuracy and completeness.</w:t>
      </w:r>
    </w:p>
    <w:p w:rsidR="005D7AE8" w:rsidRPr="00B71D90" w:rsidRDefault="005D7AE8" w:rsidP="005D7AE8">
      <w:pPr>
        <w:pStyle w:val="Bullet-1"/>
      </w:pPr>
      <w:r w:rsidRPr="00B71D90">
        <w:t>Flowcharts describe data from all sources (</w:t>
      </w:r>
      <w:r w:rsidR="00B23343">
        <w:t xml:space="preserve">refer to </w:t>
      </w:r>
      <w:r w:rsidRPr="00B71D90">
        <w:t>DM Roadmap Attachment 5.1)</w:t>
      </w:r>
      <w:r w:rsidR="00BB4DB1">
        <w:t>.</w:t>
      </w:r>
    </w:p>
    <w:p w:rsidR="005D7AE8" w:rsidRPr="00B71D90" w:rsidRDefault="005D7AE8" w:rsidP="00286A96">
      <w:pPr>
        <w:pStyle w:val="Bullet-1"/>
      </w:pPr>
      <w:r w:rsidRPr="00B71D90">
        <w:t>Policies and procedures document building, maintaining, testing of and reporting from the DM repository</w:t>
      </w:r>
      <w:r w:rsidR="00286A96">
        <w:t>.</w:t>
      </w:r>
    </w:p>
    <w:p w:rsidR="005D7AE8" w:rsidRPr="00B71D90" w:rsidRDefault="005D7AE8" w:rsidP="005D7AE8">
      <w:pPr>
        <w:pStyle w:val="Bullet-1"/>
      </w:pPr>
      <w:r w:rsidRPr="00B71D90">
        <w:t>Electronic file formats and protocols ensure capture of all data fields</w:t>
      </w:r>
      <w:r w:rsidR="00286A96">
        <w:t>.</w:t>
      </w:r>
    </w:p>
    <w:p w:rsidR="005D7AE8" w:rsidRPr="00B71D90" w:rsidRDefault="005D7AE8" w:rsidP="005D7AE8">
      <w:pPr>
        <w:pStyle w:val="Bullet-1"/>
      </w:pPr>
      <w:r w:rsidRPr="00B71D90">
        <w:t>DM repository data produce the intended result</w:t>
      </w:r>
      <w:r w:rsidR="00286A96">
        <w:t>.</w:t>
      </w:r>
    </w:p>
    <w:p w:rsidR="005D7AE8" w:rsidRPr="00B71D90" w:rsidRDefault="005D7AE8" w:rsidP="005D7AE8">
      <w:pPr>
        <w:pStyle w:val="StdText"/>
        <w:ind w:left="720" w:hanging="720"/>
      </w:pPr>
      <w:r w:rsidRPr="00B71D90">
        <w:t>IS 9.6</w:t>
      </w:r>
      <w:r w:rsidRPr="00B71D90">
        <w:tab/>
        <w:t>Physical control procedures ensure DM data integrity such as physical security, data access authorization, disaster recovery facilities and fire protection.</w:t>
      </w:r>
    </w:p>
    <w:p w:rsidR="005D7AE8" w:rsidRPr="00B71D90" w:rsidRDefault="0033223B" w:rsidP="005D7AE8">
      <w:pPr>
        <w:pStyle w:val="Bullet-1"/>
      </w:pPr>
      <w:r w:rsidRPr="00B71D90">
        <w:t xml:space="preserve">DM </w:t>
      </w:r>
      <w:r w:rsidR="005D7AE8" w:rsidRPr="00B71D90">
        <w:t xml:space="preserve">repository computer operations and system security schemes, documentation and procedures ensure that data are not compromised by physical security, data access authorization, disaster recovery procedures, power failures, fire or smoke (refer to </w:t>
      </w:r>
      <w:r w:rsidRPr="00B71D90">
        <w:t xml:space="preserve">DM </w:t>
      </w:r>
      <w:r w:rsidR="005D7AE8" w:rsidRPr="00B71D90">
        <w:t>Roadmap A</w:t>
      </w:r>
      <w:r w:rsidRPr="00B71D90">
        <w:t>ttachment 5</w:t>
      </w:r>
      <w:r w:rsidR="005D7AE8" w:rsidRPr="00B71D90">
        <w:t>.3).</w:t>
      </w:r>
    </w:p>
    <w:p w:rsidR="005D7AE8" w:rsidRPr="00B71D90" w:rsidRDefault="005D7AE8" w:rsidP="005D7AE8">
      <w:pPr>
        <w:pStyle w:val="Bullet-1"/>
      </w:pPr>
      <w:r w:rsidRPr="00B71D90">
        <w:t>Adequate copies of the repository and documentation are maintained</w:t>
      </w:r>
      <w:r w:rsidR="00286A96">
        <w:t>.</w:t>
      </w:r>
    </w:p>
    <w:p w:rsidR="005D7AE8" w:rsidRPr="00B71D90" w:rsidRDefault="005D7AE8" w:rsidP="005D7AE8">
      <w:pPr>
        <w:pStyle w:val="Bullet-1"/>
      </w:pPr>
      <w:r w:rsidRPr="00B71D90">
        <w:t>Policy, procedures and log forms for monitoring control, security hardware functions, hardware activities, back-ups, recovery, archiving, capacity, physical states and access are available for review</w:t>
      </w:r>
      <w:r w:rsidR="00286A96">
        <w:t>.</w:t>
      </w:r>
    </w:p>
    <w:p w:rsidR="00327BED" w:rsidRPr="00B71D90" w:rsidRDefault="00327BED" w:rsidP="007B7CBB">
      <w:pPr>
        <w:pStyle w:val="Body"/>
      </w:pPr>
    </w:p>
    <w:p w:rsidR="005D7AE8" w:rsidRPr="00B71D90" w:rsidRDefault="005D7AE8" w:rsidP="007B7CBB">
      <w:pPr>
        <w:pStyle w:val="Body"/>
        <w:sectPr w:rsidR="005D7AE8" w:rsidRPr="00B71D90" w:rsidSect="00550D6B">
          <w:footnotePr>
            <w:numStart w:val="2"/>
          </w:footnotePr>
          <w:pgSz w:w="12240" w:h="15840" w:code="1"/>
          <w:pgMar w:top="1080" w:right="1080" w:bottom="1080" w:left="1440" w:header="720" w:footer="720" w:gutter="0"/>
          <w:cols w:space="720"/>
        </w:sectPr>
      </w:pPr>
    </w:p>
    <w:p w:rsidR="007B7CBB" w:rsidRPr="00B71D90" w:rsidRDefault="0070263B" w:rsidP="007B7CBB">
      <w:pPr>
        <w:pStyle w:val="Heading2"/>
      </w:pPr>
      <w:r w:rsidRPr="00B71D90">
        <w:lastRenderedPageBreak/>
        <w:t xml:space="preserve">HEDIS </w:t>
      </w:r>
      <w:r w:rsidR="007B7CBB" w:rsidRPr="00B71D90">
        <w:t>Determination Standards</w:t>
      </w:r>
    </w:p>
    <w:p w:rsidR="007B7CBB" w:rsidRPr="00B71D90" w:rsidRDefault="007B7CBB" w:rsidP="005E2C78">
      <w:pPr>
        <w:pStyle w:val="Heading3"/>
        <w:pBdr>
          <w:top w:val="single" w:sz="4" w:space="2" w:color="auto"/>
          <w:bottom w:val="single" w:sz="4" w:space="2" w:color="auto"/>
        </w:pBdr>
        <w:spacing w:before="0"/>
        <w:ind w:left="810" w:hanging="810"/>
      </w:pPr>
      <w:r w:rsidRPr="00B71D90">
        <w:t>HD 1.</w:t>
      </w:r>
      <w:r w:rsidR="005E2C78" w:rsidRPr="00B71D90">
        <w:t>0</w:t>
      </w:r>
      <w:r w:rsidR="005E2C78" w:rsidRPr="00B71D90">
        <w:tab/>
      </w:r>
      <w:r w:rsidRPr="00B71D90">
        <w:t>Denominator Identification</w:t>
      </w:r>
    </w:p>
    <w:p w:rsidR="007B7CBB" w:rsidRPr="00B71D90" w:rsidRDefault="007B7CBB" w:rsidP="00571C1E">
      <w:pPr>
        <w:pStyle w:val="StdText"/>
        <w:spacing w:before="140"/>
        <w:ind w:left="720" w:hanging="720"/>
      </w:pPr>
      <w:r w:rsidRPr="00B71D90">
        <w:t>HD 1.1</w:t>
      </w:r>
      <w:r w:rsidRPr="00B71D90">
        <w:tab/>
        <w:t>Members and service events are correctly categorized into member subgroups.</w:t>
      </w:r>
    </w:p>
    <w:p w:rsidR="007B7CBB" w:rsidRPr="00B71D90" w:rsidRDefault="007B7CBB" w:rsidP="00E80122">
      <w:pPr>
        <w:pStyle w:val="Bullet-1"/>
      </w:pPr>
      <w:r w:rsidRPr="00B71D90">
        <w:t>Code and program flowcharts ensure</w:t>
      </w:r>
      <w:r w:rsidR="007A51C0" w:rsidRPr="00B71D90">
        <w:t xml:space="preserve"> accurate calculation of:</w:t>
      </w:r>
    </w:p>
    <w:p w:rsidR="007B7CBB" w:rsidRPr="00B71D90" w:rsidRDefault="00CD13D8" w:rsidP="00CD13D8">
      <w:pPr>
        <w:pStyle w:val="Dash"/>
        <w:tabs>
          <w:tab w:val="clear" w:pos="792"/>
        </w:tabs>
        <w:ind w:left="1152"/>
      </w:pPr>
      <w:r w:rsidRPr="00B71D90">
        <w:t>A</w:t>
      </w:r>
      <w:r w:rsidR="007B7CBB" w:rsidRPr="00B71D90">
        <w:t>ge</w:t>
      </w:r>
      <w:r w:rsidR="000748F7">
        <w:t>.</w:t>
      </w:r>
    </w:p>
    <w:p w:rsidR="007B7CBB" w:rsidRPr="00B71D90" w:rsidRDefault="00CD13D8" w:rsidP="00CD13D8">
      <w:pPr>
        <w:pStyle w:val="Dash"/>
        <w:tabs>
          <w:tab w:val="clear" w:pos="792"/>
        </w:tabs>
        <w:ind w:left="1152"/>
      </w:pPr>
      <w:r w:rsidRPr="00B71D90">
        <w:t>Age range</w:t>
      </w:r>
      <w:r w:rsidR="000748F7">
        <w:t>.</w:t>
      </w:r>
    </w:p>
    <w:p w:rsidR="007B7CBB" w:rsidRPr="00B71D90" w:rsidRDefault="00CD13D8" w:rsidP="00CD13D8">
      <w:pPr>
        <w:pStyle w:val="Dash"/>
        <w:tabs>
          <w:tab w:val="clear" w:pos="792"/>
        </w:tabs>
        <w:ind w:left="1152"/>
      </w:pPr>
      <w:r w:rsidRPr="00B71D90">
        <w:t>Gender</w:t>
      </w:r>
      <w:r w:rsidR="000748F7">
        <w:t>.</w:t>
      </w:r>
    </w:p>
    <w:p w:rsidR="00191718" w:rsidRPr="00B71D90" w:rsidRDefault="00CD13D8" w:rsidP="00CD13D8">
      <w:pPr>
        <w:pStyle w:val="Dash"/>
        <w:tabs>
          <w:tab w:val="clear" w:pos="792"/>
        </w:tabs>
        <w:ind w:left="1152"/>
      </w:pPr>
      <w:r w:rsidRPr="00B71D90">
        <w:t>Product</w:t>
      </w:r>
      <w:r w:rsidR="000748F7">
        <w:t>.</w:t>
      </w:r>
    </w:p>
    <w:p w:rsidR="00191718" w:rsidRPr="00B71D90" w:rsidRDefault="00CD13D8" w:rsidP="00CD13D8">
      <w:pPr>
        <w:pStyle w:val="Dash"/>
        <w:tabs>
          <w:tab w:val="clear" w:pos="792"/>
        </w:tabs>
        <w:ind w:left="1152"/>
      </w:pPr>
      <w:r w:rsidRPr="00B71D90">
        <w:t>Product line</w:t>
      </w:r>
      <w:r w:rsidR="000748F7">
        <w:t>.</w:t>
      </w:r>
    </w:p>
    <w:p w:rsidR="007B7CBB" w:rsidRPr="00B71D90" w:rsidRDefault="00CD13D8" w:rsidP="00CD13D8">
      <w:pPr>
        <w:pStyle w:val="Dash"/>
        <w:tabs>
          <w:tab w:val="clear" w:pos="792"/>
        </w:tabs>
        <w:ind w:left="1152"/>
      </w:pPr>
      <w:r w:rsidRPr="00B71D90">
        <w:t>Enrollment determination date</w:t>
      </w:r>
      <w:r w:rsidR="000748F7">
        <w:t>.</w:t>
      </w:r>
    </w:p>
    <w:p w:rsidR="007B7CBB" w:rsidRPr="00B71D90" w:rsidRDefault="00CD13D8" w:rsidP="00CD13D8">
      <w:pPr>
        <w:pStyle w:val="Dash"/>
        <w:tabs>
          <w:tab w:val="clear" w:pos="792"/>
        </w:tabs>
        <w:ind w:left="1152"/>
      </w:pPr>
      <w:r w:rsidRPr="00B71D90">
        <w:t>Newborns</w:t>
      </w:r>
      <w:r w:rsidR="00286A96">
        <w:t>.</w:t>
      </w:r>
    </w:p>
    <w:p w:rsidR="007B7CBB" w:rsidRPr="00B71D90" w:rsidRDefault="007B7CBB" w:rsidP="004263B7">
      <w:pPr>
        <w:pStyle w:val="Bullet-1"/>
      </w:pPr>
      <w:r w:rsidRPr="00B71D90">
        <w:t>Member level files ensure accuracy</w:t>
      </w:r>
      <w:r w:rsidR="007A51C0" w:rsidRPr="00B71D90">
        <w:t>:</w:t>
      </w:r>
    </w:p>
    <w:p w:rsidR="007B7CBB" w:rsidRPr="00B71D90" w:rsidRDefault="00D1207A" w:rsidP="00CD13D8">
      <w:pPr>
        <w:pStyle w:val="Dash"/>
        <w:tabs>
          <w:tab w:val="clear" w:pos="792"/>
        </w:tabs>
        <w:ind w:left="1152"/>
      </w:pPr>
      <w:r w:rsidRPr="00B71D90">
        <w:t>Comparison of a sample of member-level files with source documents to ensure that all data are correctly processed</w:t>
      </w:r>
      <w:r w:rsidR="00286A96">
        <w:t>.</w:t>
      </w:r>
    </w:p>
    <w:p w:rsidR="007B7CBB" w:rsidRPr="00B71D90" w:rsidRDefault="007B7CBB" w:rsidP="009301D8">
      <w:pPr>
        <w:pStyle w:val="StdText"/>
        <w:ind w:left="720" w:hanging="720"/>
      </w:pPr>
      <w:r w:rsidRPr="00B71D90">
        <w:t>HD 1.2</w:t>
      </w:r>
      <w:r w:rsidRPr="00B71D90">
        <w:tab/>
        <w:t>Relevant medical and service events are correctly considered in terms of time and services.</w:t>
      </w:r>
    </w:p>
    <w:p w:rsidR="007B7CBB" w:rsidRPr="00B71D90" w:rsidRDefault="007B7CBB" w:rsidP="00E80122">
      <w:pPr>
        <w:pStyle w:val="Bullet-1"/>
      </w:pPr>
      <w:r w:rsidRPr="00B71D90">
        <w:t>Code and program flowcharts ensure</w:t>
      </w:r>
      <w:r w:rsidR="00BB54F5" w:rsidRPr="00B71D90">
        <w:t xml:space="preserve"> </w:t>
      </w:r>
      <w:r w:rsidR="00130EC6" w:rsidRPr="00B71D90">
        <w:t xml:space="preserve">that </w:t>
      </w:r>
      <w:r w:rsidR="00BB54F5" w:rsidRPr="00B71D90">
        <w:t>they</w:t>
      </w:r>
      <w:r w:rsidR="007A51C0" w:rsidRPr="00B71D90">
        <w:t>:</w:t>
      </w:r>
    </w:p>
    <w:p w:rsidR="007B7CBB" w:rsidRPr="00B71D90" w:rsidRDefault="00CD13D8" w:rsidP="00CD13D8">
      <w:pPr>
        <w:pStyle w:val="Dash"/>
        <w:tabs>
          <w:tab w:val="clear" w:pos="792"/>
        </w:tabs>
        <w:ind w:left="1152"/>
      </w:pPr>
      <w:r w:rsidRPr="00B71D90">
        <w:t>Adh</w:t>
      </w:r>
      <w:r w:rsidR="007B7CBB" w:rsidRPr="00B71D90">
        <w:t>ere to the time</w:t>
      </w:r>
      <w:r w:rsidR="00130EC6" w:rsidRPr="00B71D90">
        <w:t xml:space="preserve"> </w:t>
      </w:r>
      <w:r w:rsidR="007B7CBB" w:rsidRPr="00B71D90">
        <w:t>frame require</w:t>
      </w:r>
      <w:r w:rsidR="000748F7">
        <w:t>ments for periods of membership.</w:t>
      </w:r>
    </w:p>
    <w:p w:rsidR="007B7CBB" w:rsidRPr="00B71D90" w:rsidRDefault="00CD13D8" w:rsidP="00CD13D8">
      <w:pPr>
        <w:pStyle w:val="Dash"/>
        <w:tabs>
          <w:tab w:val="clear" w:pos="792"/>
        </w:tabs>
        <w:ind w:left="1152"/>
      </w:pPr>
      <w:r w:rsidRPr="00B71D90">
        <w:t>Properly identify</w:t>
      </w:r>
      <w:r w:rsidR="007B7CBB" w:rsidRPr="00B71D90">
        <w:t xml:space="preserve"> events that require linking </w:t>
      </w:r>
      <w:r w:rsidR="00804972" w:rsidRPr="00B71D90">
        <w:t>v</w:t>
      </w:r>
      <w:r w:rsidR="007B7CBB" w:rsidRPr="00B71D90">
        <w:t xml:space="preserve">isit codes, </w:t>
      </w:r>
      <w:r w:rsidR="00804972" w:rsidRPr="00B71D90">
        <w:t>p</w:t>
      </w:r>
      <w:r w:rsidR="007B7CBB" w:rsidRPr="00B71D90">
        <w:t xml:space="preserve">rocedure codes and </w:t>
      </w:r>
      <w:r w:rsidR="00804972" w:rsidRPr="00B71D90">
        <w:t>p</w:t>
      </w:r>
      <w:r w:rsidR="007A51C0" w:rsidRPr="00B71D90">
        <w:t xml:space="preserve">ractitioner </w:t>
      </w:r>
      <w:r w:rsidR="00804972" w:rsidRPr="00B71D90">
        <w:t>t</w:t>
      </w:r>
      <w:r w:rsidR="007A51C0" w:rsidRPr="00B71D90">
        <w:t>y</w:t>
      </w:r>
      <w:r w:rsidR="007B7CBB" w:rsidRPr="00B71D90">
        <w:t>pe codes</w:t>
      </w:r>
      <w:r w:rsidR="000748F7">
        <w:t>.</w:t>
      </w:r>
    </w:p>
    <w:p w:rsidR="007B7CBB" w:rsidRPr="00B71D90" w:rsidRDefault="00CD13D8" w:rsidP="00CD13D8">
      <w:pPr>
        <w:pStyle w:val="Dash"/>
        <w:tabs>
          <w:tab w:val="clear" w:pos="792"/>
        </w:tabs>
        <w:ind w:left="1152"/>
      </w:pPr>
      <w:r w:rsidRPr="00B71D90">
        <w:t>Properly identify</w:t>
      </w:r>
      <w:r w:rsidR="007B7CBB" w:rsidRPr="00B71D90">
        <w:t xml:space="preserve"> events that require matching claim/encounter and pharmacy data</w:t>
      </w:r>
      <w:r w:rsidR="000748F7">
        <w:t>.</w:t>
      </w:r>
    </w:p>
    <w:p w:rsidR="007B7CBB" w:rsidRPr="00B71D90" w:rsidRDefault="00CD13D8" w:rsidP="00CD13D8">
      <w:pPr>
        <w:pStyle w:val="Dash"/>
        <w:tabs>
          <w:tab w:val="clear" w:pos="792"/>
        </w:tabs>
        <w:ind w:left="1152"/>
      </w:pPr>
      <w:r w:rsidRPr="00B71D90">
        <w:t>Properly identify</w:t>
      </w:r>
      <w:r w:rsidR="007B7CBB" w:rsidRPr="00B71D90">
        <w:t xml:space="preserve"> claim/encounter</w:t>
      </w:r>
      <w:r w:rsidR="00296192" w:rsidRPr="00B71D90">
        <w:t>-</w:t>
      </w:r>
      <w:r w:rsidR="007B7CBB" w:rsidRPr="00B71D90">
        <w:t>dependent events</w:t>
      </w:r>
      <w:r w:rsidR="000748F7">
        <w:t>.</w:t>
      </w:r>
    </w:p>
    <w:p w:rsidR="00191718" w:rsidRPr="00B71D90" w:rsidRDefault="00191718" w:rsidP="00CD13D8">
      <w:pPr>
        <w:pStyle w:val="Dash"/>
        <w:tabs>
          <w:tab w:val="clear" w:pos="792"/>
        </w:tabs>
        <w:ind w:left="1152"/>
      </w:pPr>
      <w:r w:rsidRPr="00B71D90">
        <w:t>Use all the correct clinical codes</w:t>
      </w:r>
      <w:r w:rsidR="000748F7">
        <w:t>.</w:t>
      </w:r>
    </w:p>
    <w:p w:rsidR="007B7CBB" w:rsidRPr="00B71D90" w:rsidRDefault="00CD13D8" w:rsidP="00CD13D8">
      <w:pPr>
        <w:pStyle w:val="Dash"/>
        <w:tabs>
          <w:tab w:val="clear" w:pos="792"/>
        </w:tabs>
        <w:ind w:left="1152"/>
      </w:pPr>
      <w:r w:rsidRPr="00B71D90">
        <w:t>Include a</w:t>
      </w:r>
      <w:r w:rsidR="007B7CBB" w:rsidRPr="00B71D90">
        <w:t>ll members in the denominator</w:t>
      </w:r>
      <w:r w:rsidR="007A51C0" w:rsidRPr="00B71D90">
        <w:t>,</w:t>
      </w:r>
      <w:r w:rsidR="007B7CBB" w:rsidRPr="00B71D90">
        <w:t xml:space="preserve"> whether </w:t>
      </w:r>
      <w:r w:rsidR="007A51C0" w:rsidRPr="00B71D90">
        <w:t xml:space="preserve">or not </w:t>
      </w:r>
      <w:r w:rsidR="007B7CBB" w:rsidRPr="00B71D90">
        <w:t>they had services</w:t>
      </w:r>
      <w:r w:rsidR="000748F7">
        <w:t>.</w:t>
      </w:r>
    </w:p>
    <w:p w:rsidR="007B7CBB" w:rsidRPr="00B71D90" w:rsidRDefault="00CD13D8" w:rsidP="00CD13D8">
      <w:pPr>
        <w:pStyle w:val="Dash"/>
        <w:tabs>
          <w:tab w:val="clear" w:pos="792"/>
        </w:tabs>
        <w:ind w:left="1152"/>
      </w:pPr>
      <w:r w:rsidRPr="00B71D90">
        <w:t>Inc</w:t>
      </w:r>
      <w:r w:rsidR="00BB54F5" w:rsidRPr="00B71D90">
        <w:t>lude a</w:t>
      </w:r>
      <w:r w:rsidR="007B7CBB" w:rsidRPr="00B71D90">
        <w:t xml:space="preserve">ll model types and practitioners in the measures and </w:t>
      </w:r>
      <w:r w:rsidR="007A51C0" w:rsidRPr="00B71D90">
        <w:t xml:space="preserve">a </w:t>
      </w:r>
      <w:r w:rsidR="007B7CBB" w:rsidRPr="00B71D90">
        <w:t>correct count</w:t>
      </w:r>
      <w:r w:rsidR="00286A96">
        <w:t>.</w:t>
      </w:r>
    </w:p>
    <w:p w:rsidR="007B7CBB" w:rsidRPr="00B71D90" w:rsidRDefault="007B7CBB" w:rsidP="00E80122">
      <w:pPr>
        <w:pStyle w:val="Bullet-1"/>
      </w:pPr>
      <w:r w:rsidRPr="00B71D90">
        <w:t>Member level files ensure accuracy</w:t>
      </w:r>
      <w:r w:rsidR="007A51C0" w:rsidRPr="00B71D90">
        <w:t>:</w:t>
      </w:r>
    </w:p>
    <w:p w:rsidR="007B7CBB" w:rsidRPr="00B71D90" w:rsidRDefault="00D1207A" w:rsidP="00CD13D8">
      <w:pPr>
        <w:pStyle w:val="Dash"/>
        <w:tabs>
          <w:tab w:val="clear" w:pos="792"/>
        </w:tabs>
        <w:ind w:left="1152"/>
      </w:pPr>
      <w:r w:rsidRPr="00B71D90">
        <w:t>Comparison of a sample of member-level files with source documents to ensure that all data are correctly processed</w:t>
      </w:r>
      <w:r w:rsidR="00286A96">
        <w:t>.</w:t>
      </w:r>
    </w:p>
    <w:p w:rsidR="007B7CBB" w:rsidRPr="00B71D90" w:rsidRDefault="007B7CBB" w:rsidP="009301D8">
      <w:pPr>
        <w:pStyle w:val="StdText"/>
        <w:ind w:left="720" w:hanging="720"/>
      </w:pPr>
      <w:r w:rsidRPr="00B71D90">
        <w:t>HD 1.3</w:t>
      </w:r>
      <w:r w:rsidRPr="00B71D90">
        <w:tab/>
        <w:t xml:space="preserve">Membership parameters and continuous enrollment are computed as defined by </w:t>
      </w:r>
      <w:r w:rsidR="00D31BF0" w:rsidRPr="00B71D90">
        <w:t>the specifications</w:t>
      </w:r>
      <w:r w:rsidRPr="00B71D90">
        <w:t>.</w:t>
      </w:r>
    </w:p>
    <w:p w:rsidR="007B7CBB" w:rsidRPr="00B71D90" w:rsidRDefault="007B7CBB" w:rsidP="00E80122">
      <w:pPr>
        <w:pStyle w:val="Bullet-1"/>
      </w:pPr>
      <w:r w:rsidRPr="00B71D90">
        <w:t xml:space="preserve">Code and program flowcharts ensure </w:t>
      </w:r>
      <w:r w:rsidR="00130EC6" w:rsidRPr="00B71D90">
        <w:t xml:space="preserve">that </w:t>
      </w:r>
      <w:r w:rsidR="00FE774D" w:rsidRPr="00B71D90">
        <w:t>the software</w:t>
      </w:r>
      <w:r w:rsidR="007A51C0" w:rsidRPr="00B71D90">
        <w:t>:</w:t>
      </w:r>
      <w:r w:rsidRPr="00B71D90">
        <w:t xml:space="preserve"> </w:t>
      </w:r>
    </w:p>
    <w:p w:rsidR="007B7CBB" w:rsidRPr="00B71D90" w:rsidRDefault="00CD13D8" w:rsidP="00CD13D8">
      <w:pPr>
        <w:pStyle w:val="Dash"/>
        <w:tabs>
          <w:tab w:val="clear" w:pos="792"/>
        </w:tabs>
        <w:ind w:left="1152"/>
      </w:pPr>
      <w:r w:rsidRPr="00B71D90">
        <w:t>Adh</w:t>
      </w:r>
      <w:r w:rsidR="007B7CBB" w:rsidRPr="00B71D90">
        <w:t>eres to the time</w:t>
      </w:r>
      <w:r w:rsidR="007A51C0" w:rsidRPr="00B71D90">
        <w:t xml:space="preserve"> </w:t>
      </w:r>
      <w:r w:rsidR="007B7CBB" w:rsidRPr="00B71D90">
        <w:t>frame requirements for periods of membership</w:t>
      </w:r>
      <w:r w:rsidR="000748F7">
        <w:t>.</w:t>
      </w:r>
    </w:p>
    <w:p w:rsidR="007B7CBB" w:rsidRPr="00B71D90" w:rsidRDefault="00CD13D8" w:rsidP="00CD13D8">
      <w:pPr>
        <w:pStyle w:val="Dash"/>
        <w:tabs>
          <w:tab w:val="clear" w:pos="792"/>
        </w:tabs>
        <w:ind w:left="1152"/>
      </w:pPr>
      <w:r w:rsidRPr="00B71D90">
        <w:t>Determines continuous enrollment in the specified period, including any allowable gaps in enrollment followed by reenrollment</w:t>
      </w:r>
      <w:r w:rsidR="000748F7">
        <w:t>.</w:t>
      </w:r>
    </w:p>
    <w:p w:rsidR="007B7CBB" w:rsidRPr="00B71D90" w:rsidRDefault="00CD13D8" w:rsidP="00CD13D8">
      <w:pPr>
        <w:pStyle w:val="Dash"/>
        <w:tabs>
          <w:tab w:val="clear" w:pos="792"/>
        </w:tabs>
        <w:ind w:left="1152"/>
      </w:pPr>
      <w:r w:rsidRPr="00B71D90">
        <w:t xml:space="preserve">Tracks member enrollment history, separate coverage periods, change in </w:t>
      </w:r>
      <w:r w:rsidR="007A51C0" w:rsidRPr="00B71D90">
        <w:t xml:space="preserve">ID </w:t>
      </w:r>
      <w:r w:rsidRPr="00B71D90">
        <w:t xml:space="preserve">numbers, change in relationship to subscriber and </w:t>
      </w:r>
      <w:r w:rsidR="007B7CBB" w:rsidRPr="00B71D90">
        <w:t>change in product or product line</w:t>
      </w:r>
      <w:r w:rsidR="00BB08D3">
        <w:t>.</w:t>
      </w:r>
    </w:p>
    <w:p w:rsidR="007B7CBB" w:rsidRPr="00B71D90" w:rsidRDefault="00CD13D8" w:rsidP="00CD13D8">
      <w:pPr>
        <w:pStyle w:val="Dash"/>
        <w:tabs>
          <w:tab w:val="clear" w:pos="792"/>
        </w:tabs>
        <w:ind w:left="1152"/>
      </w:pPr>
      <w:r w:rsidRPr="00B71D90">
        <w:t xml:space="preserve">Provides a </w:t>
      </w:r>
      <w:r w:rsidR="007B7CBB" w:rsidRPr="00B71D90">
        <w:t>complete and unduplicated count of member months and other membership variables</w:t>
      </w:r>
      <w:r w:rsidR="000748F7">
        <w:t>.</w:t>
      </w:r>
    </w:p>
    <w:p w:rsidR="007B7CBB" w:rsidRPr="00B71D90" w:rsidRDefault="00CD13D8" w:rsidP="00CD13D8">
      <w:pPr>
        <w:pStyle w:val="Dash"/>
        <w:tabs>
          <w:tab w:val="clear" w:pos="792"/>
        </w:tabs>
        <w:ind w:left="1152"/>
      </w:pPr>
      <w:r w:rsidRPr="00B71D90">
        <w:t>P</w:t>
      </w:r>
      <w:r w:rsidR="007B7CBB" w:rsidRPr="00B71D90">
        <w:t>roperly assigns members to products and product lines for reporting</w:t>
      </w:r>
      <w:r w:rsidR="00286A96">
        <w:t>.</w:t>
      </w:r>
    </w:p>
    <w:p w:rsidR="007B7CBB" w:rsidRPr="00B71D90" w:rsidRDefault="007B7CBB" w:rsidP="00E80122">
      <w:pPr>
        <w:pStyle w:val="Bullet-1"/>
      </w:pPr>
      <w:r w:rsidRPr="00B71D90">
        <w:t>Member level files ensure accuracy, including</w:t>
      </w:r>
      <w:r w:rsidR="007A51C0" w:rsidRPr="00B71D90">
        <w:t>:</w:t>
      </w:r>
    </w:p>
    <w:p w:rsidR="002A4312" w:rsidRPr="00B71D90" w:rsidRDefault="00D1207A" w:rsidP="00CD13D8">
      <w:pPr>
        <w:pStyle w:val="Dash"/>
        <w:tabs>
          <w:tab w:val="clear" w:pos="792"/>
        </w:tabs>
        <w:ind w:left="1152"/>
        <w:sectPr w:rsidR="002A4312" w:rsidRPr="00B71D90" w:rsidSect="00550D6B">
          <w:headerReference w:type="even" r:id="rId77"/>
          <w:headerReference w:type="default" r:id="rId78"/>
          <w:footnotePr>
            <w:numStart w:val="2"/>
          </w:footnotePr>
          <w:pgSz w:w="12240" w:h="15840" w:code="1"/>
          <w:pgMar w:top="1080" w:right="1080" w:bottom="1080" w:left="1440" w:header="720" w:footer="720" w:gutter="0"/>
          <w:cols w:space="720"/>
        </w:sectPr>
      </w:pPr>
      <w:r w:rsidRPr="00B71D90">
        <w:t>Comparison of a</w:t>
      </w:r>
      <w:r w:rsidR="00CD13D8" w:rsidRPr="00B71D90">
        <w:t xml:space="preserve"> sa</w:t>
      </w:r>
      <w:r w:rsidR="007B7CBB" w:rsidRPr="00B71D90">
        <w:t>mple of member</w:t>
      </w:r>
      <w:r w:rsidR="00296192" w:rsidRPr="00B71D90">
        <w:t>-</w:t>
      </w:r>
      <w:r w:rsidR="007B7CBB" w:rsidRPr="00B71D90">
        <w:t xml:space="preserve">level </w:t>
      </w:r>
      <w:r w:rsidRPr="00B71D90">
        <w:t xml:space="preserve">files </w:t>
      </w:r>
      <w:r w:rsidR="00296192" w:rsidRPr="00B71D90">
        <w:t>with</w:t>
      </w:r>
      <w:r w:rsidR="007B7CBB" w:rsidRPr="00B71D90">
        <w:t xml:space="preserve"> source documents </w:t>
      </w:r>
      <w:r w:rsidR="00296192" w:rsidRPr="00B71D90">
        <w:t xml:space="preserve">to </w:t>
      </w:r>
      <w:r w:rsidR="007B7CBB" w:rsidRPr="00B71D90">
        <w:t>ensure that all data are correctly processed</w:t>
      </w:r>
      <w:r w:rsidR="00286A96">
        <w:t>.</w:t>
      </w:r>
    </w:p>
    <w:p w:rsidR="00BE3E4A" w:rsidRPr="00B71D90" w:rsidRDefault="007B7CBB">
      <w:pPr>
        <w:pStyle w:val="StdHead"/>
        <w:spacing w:before="0"/>
        <w:rPr>
          <w:color w:val="auto"/>
        </w:rPr>
      </w:pPr>
      <w:r w:rsidRPr="00B71D90">
        <w:rPr>
          <w:color w:val="auto"/>
        </w:rPr>
        <w:lastRenderedPageBreak/>
        <w:t>Software Certification</w:t>
      </w:r>
    </w:p>
    <w:p w:rsidR="007B7CBB" w:rsidRPr="00B71D90" w:rsidRDefault="007B7CBB" w:rsidP="007B7CBB">
      <w:pPr>
        <w:pStyle w:val="Body"/>
      </w:pPr>
      <w:r w:rsidRPr="00B71D90">
        <w:t>If the organization uses NCQA</w:t>
      </w:r>
      <w:r w:rsidR="00D47B4B" w:rsidRPr="00B71D90">
        <w:t xml:space="preserve"> </w:t>
      </w:r>
      <w:r w:rsidRPr="00B71D90">
        <w:t>Certified software</w:t>
      </w:r>
      <w:r w:rsidRPr="00B71D90">
        <w:rPr>
          <w:i/>
        </w:rPr>
        <w:t>,</w:t>
      </w:r>
      <w:r w:rsidRPr="00B71D90">
        <w:t xml:space="preserve"> the auditor should review the vendor’s Certification Report. The auditor should not review the denominator identification logic for measures with a </w:t>
      </w:r>
      <w:r w:rsidRPr="00B71D90">
        <w:rPr>
          <w:i/>
        </w:rPr>
        <w:t>Pass</w:t>
      </w:r>
      <w:r w:rsidRPr="00B71D90">
        <w:t xml:space="preserve"> status. </w:t>
      </w:r>
    </w:p>
    <w:p w:rsidR="007B7CBB" w:rsidRPr="00B71D90" w:rsidRDefault="007B7CBB" w:rsidP="007B7CBB">
      <w:pPr>
        <w:pStyle w:val="Body"/>
      </w:pPr>
      <w:r w:rsidRPr="00B71D90">
        <w:t>If any measure received a</w:t>
      </w:r>
      <w:r w:rsidRPr="00B71D90">
        <w:rPr>
          <w:i/>
        </w:rPr>
        <w:t xml:space="preserve"> Pass With Qualifications </w:t>
      </w:r>
      <w:r w:rsidRPr="00B71D90">
        <w:t>status</w:t>
      </w:r>
      <w:r w:rsidRPr="00B71D90">
        <w:rPr>
          <w:i/>
        </w:rPr>
        <w:t>,</w:t>
      </w:r>
      <w:r w:rsidRPr="00B71D90">
        <w:t xml:space="preserve"> the auditor should review the Certification Report to determine the reasons for this status and any organization or vendor workarounds to assess if there is material bias in the organization’s denominator or eligible population. </w:t>
      </w:r>
    </w:p>
    <w:p w:rsidR="007B7CBB" w:rsidRPr="00B71D90" w:rsidRDefault="007B7CBB" w:rsidP="007B7CBB">
      <w:pPr>
        <w:pStyle w:val="Body"/>
      </w:pPr>
      <w:r w:rsidRPr="00B71D90">
        <w:t xml:space="preserve">If any measure received a </w:t>
      </w:r>
      <w:r w:rsidRPr="00B71D90">
        <w:rPr>
          <w:i/>
        </w:rPr>
        <w:t xml:space="preserve">Fail </w:t>
      </w:r>
      <w:r w:rsidRPr="00B71D90">
        <w:t>status</w:t>
      </w:r>
      <w:r w:rsidRPr="00B71D90">
        <w:rPr>
          <w:i/>
        </w:rPr>
        <w:t xml:space="preserve">, </w:t>
      </w:r>
      <w:r w:rsidRPr="00B71D90">
        <w:t xml:space="preserve">the auditor must evaluate the process used by the organization or vendor to produce the results. The auditor must review all source code associated with measures not </w:t>
      </w:r>
      <w:r w:rsidR="00473F85" w:rsidRPr="00B71D90">
        <w:t xml:space="preserve">tested </w:t>
      </w:r>
      <w:r w:rsidRPr="00B71D90">
        <w:t>in the Certification Report.</w:t>
      </w:r>
    </w:p>
    <w:p w:rsidR="00C25B16" w:rsidRPr="00B71D90" w:rsidRDefault="00C25B16" w:rsidP="007B7CBB">
      <w:pPr>
        <w:sectPr w:rsidR="00C25B16" w:rsidRPr="00B71D90" w:rsidSect="00550D6B">
          <w:footnotePr>
            <w:numStart w:val="2"/>
          </w:footnotePr>
          <w:pgSz w:w="12240" w:h="15840" w:code="1"/>
          <w:pgMar w:top="1080" w:right="1080" w:bottom="1080" w:left="1440" w:header="720" w:footer="720" w:gutter="0"/>
          <w:cols w:space="720"/>
        </w:sectPr>
      </w:pPr>
    </w:p>
    <w:p w:rsidR="007B7CBB" w:rsidRPr="00B71D90" w:rsidRDefault="007B7CBB" w:rsidP="005E2C78">
      <w:pPr>
        <w:pStyle w:val="Heading3"/>
        <w:pBdr>
          <w:top w:val="single" w:sz="4" w:space="2" w:color="auto"/>
          <w:bottom w:val="single" w:sz="4" w:space="2" w:color="auto"/>
        </w:pBdr>
        <w:spacing w:before="0"/>
        <w:ind w:left="810" w:hanging="810"/>
      </w:pPr>
      <w:r w:rsidRPr="00B71D90">
        <w:lastRenderedPageBreak/>
        <w:t>HD 2.</w:t>
      </w:r>
      <w:r w:rsidR="005E2C78" w:rsidRPr="00B71D90">
        <w:t>0</w:t>
      </w:r>
      <w:r w:rsidR="005E2C78" w:rsidRPr="00B71D90">
        <w:tab/>
      </w:r>
      <w:r w:rsidRPr="00B71D90">
        <w:t>Sampling</w:t>
      </w:r>
    </w:p>
    <w:p w:rsidR="007B7CBB" w:rsidRPr="00B71D90" w:rsidRDefault="007B7CBB" w:rsidP="00571C1E">
      <w:pPr>
        <w:pStyle w:val="StdText"/>
        <w:spacing w:before="140"/>
        <w:ind w:left="720" w:hanging="720"/>
      </w:pPr>
      <w:r w:rsidRPr="00B71D90">
        <w:t>HD 2.1</w:t>
      </w:r>
      <w:r w:rsidRPr="00B71D90">
        <w:tab/>
      </w:r>
      <w:r w:rsidR="00DA5FC5" w:rsidRPr="00B71D90">
        <w:t>A s</w:t>
      </w:r>
      <w:r w:rsidRPr="00B71D90">
        <w:t xml:space="preserve">ystematic sampling </w:t>
      </w:r>
      <w:r w:rsidR="00DA5FC5" w:rsidRPr="00B71D90">
        <w:t xml:space="preserve">method </w:t>
      </w:r>
      <w:r w:rsidRPr="00B71D90">
        <w:t xml:space="preserve">is used to produce the sample and </w:t>
      </w:r>
      <w:r w:rsidR="00296192" w:rsidRPr="00B71D90">
        <w:t xml:space="preserve">is </w:t>
      </w:r>
      <w:r w:rsidRPr="00B71D90">
        <w:t>performed correctly.</w:t>
      </w:r>
    </w:p>
    <w:p w:rsidR="007B7CBB" w:rsidRPr="00B71D90" w:rsidRDefault="007B7CBB" w:rsidP="00E80122">
      <w:pPr>
        <w:pStyle w:val="Bullet-1"/>
      </w:pPr>
      <w:r w:rsidRPr="00B71D90">
        <w:t>Code and program flowcharts ensure</w:t>
      </w:r>
      <w:r w:rsidR="007A51C0" w:rsidRPr="00B71D90">
        <w:t>:</w:t>
      </w:r>
    </w:p>
    <w:p w:rsidR="007B7CBB" w:rsidRPr="00B71D90" w:rsidRDefault="00CD13D8" w:rsidP="00CD13D8">
      <w:pPr>
        <w:pStyle w:val="Dash"/>
        <w:tabs>
          <w:tab w:val="clear" w:pos="792"/>
        </w:tabs>
        <w:ind w:left="1152"/>
      </w:pPr>
      <w:r w:rsidRPr="00B71D90">
        <w:t>T</w:t>
      </w:r>
      <w:r w:rsidR="007B7CBB" w:rsidRPr="00B71D90">
        <w:t>he sampling methodology produces an unbiased sample that represents the entire eligible population in all relevant dimensions</w:t>
      </w:r>
      <w:r w:rsidR="000748F7">
        <w:t>.</w:t>
      </w:r>
    </w:p>
    <w:p w:rsidR="007B7CBB" w:rsidRPr="00B71D90" w:rsidRDefault="00296192" w:rsidP="00CD13D8">
      <w:pPr>
        <w:pStyle w:val="Dash"/>
        <w:tabs>
          <w:tab w:val="clear" w:pos="792"/>
        </w:tabs>
        <w:ind w:left="1152"/>
      </w:pPr>
      <w:r w:rsidRPr="00B71D90">
        <w:t xml:space="preserve">The sampling methodology </w:t>
      </w:r>
      <w:r w:rsidR="007B7CBB" w:rsidRPr="00B71D90">
        <w:t>follows the systematic sampling specifications</w:t>
      </w:r>
      <w:r w:rsidR="001A79A1">
        <w:t>,</w:t>
      </w:r>
      <w:r w:rsidR="007B7CBB" w:rsidRPr="00B71D90">
        <w:t xml:space="preserve"> unless another methodology </w:t>
      </w:r>
      <w:r w:rsidRPr="00B71D90">
        <w:t>i</w:t>
      </w:r>
      <w:r w:rsidR="007B7CBB" w:rsidRPr="00B71D90">
        <w:t>s approved by NCQA</w:t>
      </w:r>
      <w:r w:rsidR="000748F7">
        <w:t>.</w:t>
      </w:r>
    </w:p>
    <w:p w:rsidR="007B7CBB" w:rsidRPr="00B71D90" w:rsidRDefault="00CD13D8" w:rsidP="00CD13D8">
      <w:pPr>
        <w:pStyle w:val="Dash"/>
        <w:tabs>
          <w:tab w:val="clear" w:pos="792"/>
        </w:tabs>
        <w:ind w:left="1152"/>
      </w:pPr>
      <w:r w:rsidRPr="00B71D90">
        <w:t>S</w:t>
      </w:r>
      <w:r w:rsidR="007B7CBB" w:rsidRPr="00B71D90">
        <w:t>ample size</w:t>
      </w:r>
      <w:r w:rsidR="00BB4DB1">
        <w:t xml:space="preserve"> that exceeds the eligible population size</w:t>
      </w:r>
      <w:r w:rsidR="007B7CBB" w:rsidRPr="00B71D90">
        <w:t xml:space="preserve"> is properly managed</w:t>
      </w:r>
      <w:r w:rsidR="00286A96">
        <w:t>.</w:t>
      </w:r>
    </w:p>
    <w:p w:rsidR="007B7CBB" w:rsidRPr="00B71D90" w:rsidRDefault="007B7CBB" w:rsidP="009301D8">
      <w:pPr>
        <w:pStyle w:val="StdText"/>
        <w:ind w:left="720" w:hanging="720"/>
      </w:pPr>
      <w:r w:rsidRPr="00B71D90">
        <w:t>HD 2.2</w:t>
      </w:r>
      <w:r w:rsidRPr="00B71D90">
        <w:tab/>
        <w:t xml:space="preserve">Proper provisions are made </w:t>
      </w:r>
      <w:r w:rsidR="00296192" w:rsidRPr="00B71D90">
        <w:t>for correcting faulty samples.</w:t>
      </w:r>
    </w:p>
    <w:p w:rsidR="007B7CBB" w:rsidRPr="00B71D90" w:rsidRDefault="007B7CBB" w:rsidP="00E80122">
      <w:pPr>
        <w:pStyle w:val="Bullet-1"/>
      </w:pPr>
      <w:r w:rsidRPr="00B71D90">
        <w:t>Code and program flowcharts ensure</w:t>
      </w:r>
      <w:r w:rsidR="007A51C0" w:rsidRPr="00B71D90">
        <w:t>:</w:t>
      </w:r>
    </w:p>
    <w:p w:rsidR="007B7CBB" w:rsidRPr="00B71D90" w:rsidRDefault="00CD13D8" w:rsidP="00CD13D8">
      <w:pPr>
        <w:pStyle w:val="Dash"/>
        <w:tabs>
          <w:tab w:val="clear" w:pos="792"/>
        </w:tabs>
        <w:ind w:left="1152"/>
      </w:pPr>
      <w:r w:rsidRPr="00B71D90">
        <w:t>T</w:t>
      </w:r>
      <w:r w:rsidR="007B7CBB" w:rsidRPr="00B71D90">
        <w:t>he population file is accurately maintained</w:t>
      </w:r>
      <w:r w:rsidR="001A79A1">
        <w:t>,</w:t>
      </w:r>
      <w:r w:rsidR="007B7CBB" w:rsidRPr="00B71D90">
        <w:t xml:space="preserve"> in case the sample </w:t>
      </w:r>
      <w:r w:rsidR="00296192" w:rsidRPr="00B71D90">
        <w:t>must</w:t>
      </w:r>
      <w:r w:rsidR="007B7CBB" w:rsidRPr="00B71D90">
        <w:t xml:space="preserve"> be redrawn or additional members </w:t>
      </w:r>
      <w:r w:rsidR="00296192" w:rsidRPr="00B71D90">
        <w:t>must</w:t>
      </w:r>
      <w:r w:rsidR="007B7CBB" w:rsidRPr="00B71D90">
        <w:t xml:space="preserve"> be added</w:t>
      </w:r>
      <w:r w:rsidR="00286A96">
        <w:t>.</w:t>
      </w:r>
    </w:p>
    <w:p w:rsidR="007B7CBB" w:rsidRPr="00B71D90" w:rsidRDefault="007B7CBB" w:rsidP="009301D8">
      <w:pPr>
        <w:pStyle w:val="StdText"/>
        <w:ind w:left="720" w:hanging="720"/>
      </w:pPr>
      <w:r w:rsidRPr="00B71D90">
        <w:t>HD 2.3</w:t>
      </w:r>
      <w:r w:rsidRPr="00B71D90">
        <w:tab/>
        <w:t>Sample sizes are correct.</w:t>
      </w:r>
    </w:p>
    <w:p w:rsidR="007B7CBB" w:rsidRPr="00B71D90" w:rsidRDefault="007B7CBB" w:rsidP="00E80122">
      <w:pPr>
        <w:pStyle w:val="Bullet-1"/>
      </w:pPr>
      <w:r w:rsidRPr="00B71D90">
        <w:t>Code and program flowcharts ensure</w:t>
      </w:r>
      <w:r w:rsidR="009B4A00" w:rsidRPr="00B71D90">
        <w:t>:</w:t>
      </w:r>
    </w:p>
    <w:p w:rsidR="007B7CBB" w:rsidRPr="00B71D90" w:rsidRDefault="00CD13D8" w:rsidP="00CD13D8">
      <w:pPr>
        <w:pStyle w:val="Dash"/>
        <w:tabs>
          <w:tab w:val="clear" w:pos="792"/>
        </w:tabs>
        <w:ind w:left="1152"/>
      </w:pPr>
      <w:r w:rsidRPr="00B71D90">
        <w:t>T</w:t>
      </w:r>
      <w:r w:rsidR="007B7CBB" w:rsidRPr="00B71D90">
        <w:t>he sample is properly reduced based on this year’s administrative rate or</w:t>
      </w:r>
      <w:r w:rsidR="00B23343">
        <w:t xml:space="preserve"> on</w:t>
      </w:r>
      <w:r w:rsidR="007B7CBB" w:rsidRPr="00B71D90">
        <w:t xml:space="preserve"> last year’s final rate</w:t>
      </w:r>
      <w:r w:rsidR="000748F7">
        <w:t>.</w:t>
      </w:r>
    </w:p>
    <w:p w:rsidR="007B7CBB" w:rsidRPr="00B71D90" w:rsidRDefault="00CD13D8" w:rsidP="00CD13D8">
      <w:pPr>
        <w:pStyle w:val="Dash"/>
        <w:tabs>
          <w:tab w:val="clear" w:pos="792"/>
        </w:tabs>
        <w:ind w:left="1152"/>
      </w:pPr>
      <w:r w:rsidRPr="00B71D90">
        <w:t>O</w:t>
      </w:r>
      <w:r w:rsidR="007B7CBB" w:rsidRPr="00B71D90">
        <w:t>versampling is completed properly, with</w:t>
      </w:r>
      <w:r w:rsidRPr="00B71D90">
        <w:t xml:space="preserve"> a letter from </w:t>
      </w:r>
      <w:r w:rsidR="007A51C0" w:rsidRPr="00B71D90">
        <w:t>NCQA</w:t>
      </w:r>
      <w:r w:rsidRPr="00B71D90">
        <w:t xml:space="preserve"> </w:t>
      </w:r>
      <w:r w:rsidR="009B4A00" w:rsidRPr="00B71D90">
        <w:t>for</w:t>
      </w:r>
      <w:r w:rsidRPr="00B71D90">
        <w:t xml:space="preserve"> an oversample of</w:t>
      </w:r>
      <w:r w:rsidR="007B7CBB" w:rsidRPr="00B71D90">
        <w:t xml:space="preserve"> </w:t>
      </w:r>
      <w:r w:rsidR="009B4A00" w:rsidRPr="00B71D90">
        <w:t>&gt;</w:t>
      </w:r>
      <w:r w:rsidR="007B7CBB" w:rsidRPr="00B71D90">
        <w:t>20</w:t>
      </w:r>
      <w:r w:rsidR="00B23343">
        <w:t xml:space="preserve"> percent</w:t>
      </w:r>
      <w:r w:rsidR="000748F7">
        <w:t>.</w:t>
      </w:r>
    </w:p>
    <w:p w:rsidR="007B7CBB" w:rsidRPr="00B71D90" w:rsidRDefault="00CD13D8" w:rsidP="00CD13D8">
      <w:pPr>
        <w:pStyle w:val="Dash"/>
        <w:tabs>
          <w:tab w:val="clear" w:pos="792"/>
        </w:tabs>
        <w:ind w:left="1152"/>
      </w:pPr>
      <w:r w:rsidRPr="00B71D90">
        <w:t>S</w:t>
      </w:r>
      <w:r w:rsidR="007B7CBB" w:rsidRPr="00B71D90">
        <w:t xml:space="preserve">ampling </w:t>
      </w:r>
      <w:r w:rsidR="00296192" w:rsidRPr="00B71D90">
        <w:t>i</w:t>
      </w:r>
      <w:r w:rsidR="007B7CBB" w:rsidRPr="00B71D90">
        <w:t xml:space="preserve">s performed at the appropriate time (no earlier than December 1 of the </w:t>
      </w:r>
      <w:r w:rsidR="009B4A00" w:rsidRPr="00B71D90">
        <w:t xml:space="preserve">prior </w:t>
      </w:r>
      <w:r w:rsidR="007B7CBB" w:rsidRPr="00B71D90">
        <w:t>year)</w:t>
      </w:r>
      <w:r w:rsidR="00286A96">
        <w:t>.</w:t>
      </w:r>
    </w:p>
    <w:p w:rsidR="00BE3E4A" w:rsidRPr="00B71D90" w:rsidRDefault="005F1E57">
      <w:pPr>
        <w:pStyle w:val="StdHead"/>
        <w:rPr>
          <w:color w:val="auto"/>
        </w:rPr>
      </w:pPr>
      <w:r w:rsidRPr="00B71D90">
        <w:rPr>
          <w:color w:val="auto"/>
        </w:rPr>
        <w:t>Software Certification</w:t>
      </w:r>
    </w:p>
    <w:p w:rsidR="007B7CBB" w:rsidRPr="00B71D90" w:rsidRDefault="007B7CBB" w:rsidP="007B7CBB">
      <w:pPr>
        <w:pStyle w:val="Body"/>
      </w:pPr>
      <w:r w:rsidRPr="00B71D90">
        <w:t xml:space="preserve">If the organization uses </w:t>
      </w:r>
      <w:r w:rsidR="00D47B4B" w:rsidRPr="00B71D90">
        <w:t>NCQA Certified software</w:t>
      </w:r>
      <w:r w:rsidRPr="00B71D90">
        <w:t xml:space="preserve">, the auditor should request the vendor’s Certification Report. </w:t>
      </w:r>
    </w:p>
    <w:p w:rsidR="007B7CBB" w:rsidRPr="00B71D90" w:rsidRDefault="007B7CBB" w:rsidP="007B7CBB">
      <w:pPr>
        <w:pStyle w:val="Body"/>
      </w:pPr>
      <w:r w:rsidRPr="00B71D90">
        <w:t xml:space="preserve">If the sampling methodology received a </w:t>
      </w:r>
      <w:r w:rsidRPr="00B71D90">
        <w:rPr>
          <w:i/>
        </w:rPr>
        <w:t xml:space="preserve">Pass </w:t>
      </w:r>
      <w:r w:rsidRPr="00B71D90">
        <w:t>status</w:t>
      </w:r>
      <w:r w:rsidRPr="00B71D90">
        <w:rPr>
          <w:i/>
        </w:rPr>
        <w:t>,</w:t>
      </w:r>
      <w:r w:rsidRPr="00B71D90">
        <w:t xml:space="preserve"> the auditor does not review the sampling source code. If the sampling methodology received a</w:t>
      </w:r>
      <w:r w:rsidRPr="00B71D90">
        <w:rPr>
          <w:i/>
        </w:rPr>
        <w:t xml:space="preserve"> Pass</w:t>
      </w:r>
      <w:r w:rsidRPr="00B71D90">
        <w:t xml:space="preserve"> </w:t>
      </w:r>
      <w:r w:rsidRPr="00B71D90">
        <w:rPr>
          <w:i/>
        </w:rPr>
        <w:t xml:space="preserve">With Qualifications </w:t>
      </w:r>
      <w:r w:rsidRPr="00B71D90">
        <w:t>status</w:t>
      </w:r>
      <w:r w:rsidRPr="00B71D90">
        <w:rPr>
          <w:i/>
        </w:rPr>
        <w:t>,</w:t>
      </w:r>
      <w:r w:rsidRPr="00B71D90">
        <w:t xml:space="preserve"> the auditor reviews the Certification Report to determine the reasons for the status and reviews any organization or vendor workarounds. The auditor must determine if there is material bias in the organization’s sample. </w:t>
      </w:r>
    </w:p>
    <w:p w:rsidR="007B7CBB" w:rsidRPr="00B71D90" w:rsidRDefault="007B7CBB" w:rsidP="007B7CBB">
      <w:pPr>
        <w:pStyle w:val="Body"/>
        <w:sectPr w:rsidR="007B7CBB" w:rsidRPr="00B71D90" w:rsidSect="00550D6B">
          <w:footnotePr>
            <w:numStart w:val="2"/>
          </w:footnotePr>
          <w:pgSz w:w="12240" w:h="15840" w:code="1"/>
          <w:pgMar w:top="1080" w:right="1080" w:bottom="1080" w:left="1440" w:header="720" w:footer="720" w:gutter="0"/>
          <w:cols w:space="720"/>
        </w:sectPr>
      </w:pPr>
      <w:r w:rsidRPr="00B71D90">
        <w:t>If the sampling methodology received a</w:t>
      </w:r>
      <w:r w:rsidRPr="00B71D90">
        <w:rPr>
          <w:i/>
        </w:rPr>
        <w:t xml:space="preserve"> Fail </w:t>
      </w:r>
      <w:r w:rsidRPr="00B71D90">
        <w:t>status</w:t>
      </w:r>
      <w:r w:rsidRPr="00B71D90">
        <w:rPr>
          <w:i/>
        </w:rPr>
        <w:t>,</w:t>
      </w:r>
      <w:r w:rsidRPr="00B71D90">
        <w:t xml:space="preserve"> the auditor must evaluate the process used by the organization or vendor to produce a sample. The auditor must review the sampling source code if it is not certified.</w:t>
      </w:r>
    </w:p>
    <w:p w:rsidR="007B7CBB" w:rsidRPr="00B71D90" w:rsidRDefault="007B7CBB" w:rsidP="00130EC6">
      <w:pPr>
        <w:pStyle w:val="Heading3"/>
        <w:pBdr>
          <w:top w:val="single" w:sz="4" w:space="2" w:color="auto"/>
          <w:bottom w:val="single" w:sz="4" w:space="2" w:color="auto"/>
        </w:pBdr>
        <w:spacing w:before="0"/>
        <w:ind w:left="810" w:hanging="810"/>
      </w:pPr>
      <w:r w:rsidRPr="00B71D90">
        <w:lastRenderedPageBreak/>
        <w:t>HD 3.</w:t>
      </w:r>
      <w:r w:rsidR="00130EC6" w:rsidRPr="00B71D90">
        <w:t>0</w:t>
      </w:r>
      <w:r w:rsidR="00130EC6" w:rsidRPr="00B71D90">
        <w:tab/>
      </w:r>
      <w:r w:rsidRPr="00B71D90">
        <w:t>Numerator Identification</w:t>
      </w:r>
    </w:p>
    <w:p w:rsidR="007B7CBB" w:rsidRPr="00B71D90" w:rsidRDefault="007B7CBB" w:rsidP="00571C1E">
      <w:pPr>
        <w:pStyle w:val="StdText"/>
        <w:spacing w:before="140"/>
        <w:ind w:left="720" w:hanging="720"/>
      </w:pPr>
      <w:r w:rsidRPr="00B71D90">
        <w:t>HD 3.1</w:t>
      </w:r>
      <w:r w:rsidRPr="00B71D90">
        <w:tab/>
      </w:r>
      <w:r w:rsidR="005A33D3" w:rsidRPr="00B71D90">
        <w:t xml:space="preserve">Claims or encounter, membership, practitioner and vendor data are analyzed properly in </w:t>
      </w:r>
      <w:r w:rsidR="006107DD" w:rsidRPr="00B71D90">
        <w:t xml:space="preserve">the </w:t>
      </w:r>
      <w:r w:rsidR="005A33D3" w:rsidRPr="00B71D90">
        <w:t>assess</w:t>
      </w:r>
      <w:r w:rsidR="00296192" w:rsidRPr="00B71D90">
        <w:t xml:space="preserve">ment of </w:t>
      </w:r>
      <w:r w:rsidR="005A33D3" w:rsidRPr="00B71D90">
        <w:t xml:space="preserve">numerator qualifications. </w:t>
      </w:r>
    </w:p>
    <w:p w:rsidR="007B7CBB" w:rsidRPr="00B71D90" w:rsidRDefault="00897AAB" w:rsidP="00E80122">
      <w:pPr>
        <w:pStyle w:val="Bullet-1"/>
      </w:pPr>
      <w:r w:rsidRPr="00B71D90">
        <w:t>Program c</w:t>
      </w:r>
      <w:r w:rsidR="007B7CBB" w:rsidRPr="00B71D90">
        <w:t>ode and program flowcharts ensure</w:t>
      </w:r>
      <w:r w:rsidR="001152FB" w:rsidRPr="00B71D90">
        <w:t>:</w:t>
      </w:r>
    </w:p>
    <w:p w:rsidR="007B7CBB" w:rsidRPr="00B71D90" w:rsidRDefault="001152FB" w:rsidP="00CD13D8">
      <w:pPr>
        <w:pStyle w:val="Dash"/>
        <w:tabs>
          <w:tab w:val="clear" w:pos="792"/>
        </w:tabs>
        <w:ind w:left="1152"/>
      </w:pPr>
      <w:r w:rsidRPr="00B71D90">
        <w:t>Compliance</w:t>
      </w:r>
      <w:r w:rsidR="007B7CBB" w:rsidRPr="00B71D90">
        <w:t xml:space="preserve"> with specified time frames for medical and service events</w:t>
      </w:r>
      <w:r w:rsidR="000748F7">
        <w:t>.</w:t>
      </w:r>
    </w:p>
    <w:p w:rsidR="007B7CBB" w:rsidRPr="00B71D90" w:rsidRDefault="001152FB" w:rsidP="00CD13D8">
      <w:pPr>
        <w:pStyle w:val="Dash"/>
        <w:tabs>
          <w:tab w:val="clear" w:pos="792"/>
        </w:tabs>
        <w:ind w:left="1152"/>
      </w:pPr>
      <w:r w:rsidRPr="00B71D90">
        <w:t xml:space="preserve">Accurately </w:t>
      </w:r>
      <w:r w:rsidR="007B7CBB" w:rsidRPr="00B71D90">
        <w:t>compute</w:t>
      </w:r>
      <w:r w:rsidRPr="00B71D90">
        <w:t>d</w:t>
      </w:r>
      <w:r w:rsidR="007B7CBB" w:rsidRPr="00B71D90">
        <w:t xml:space="preserve"> multiple numerator events</w:t>
      </w:r>
      <w:r w:rsidR="000748F7">
        <w:t>.</w:t>
      </w:r>
    </w:p>
    <w:p w:rsidR="00897AAB" w:rsidRPr="00B71D90" w:rsidRDefault="001152FB" w:rsidP="00CD13D8">
      <w:pPr>
        <w:pStyle w:val="Dash"/>
        <w:tabs>
          <w:tab w:val="clear" w:pos="792"/>
        </w:tabs>
        <w:ind w:left="1152"/>
      </w:pPr>
      <w:r w:rsidRPr="00B71D90">
        <w:t>Use of c</w:t>
      </w:r>
      <w:r w:rsidR="00CD13D8" w:rsidRPr="00B71D90">
        <w:t>orrect clinical codes</w:t>
      </w:r>
      <w:r w:rsidR="000748F7">
        <w:t>.</w:t>
      </w:r>
    </w:p>
    <w:p w:rsidR="00897AAB" w:rsidRPr="00B71D90" w:rsidRDefault="001152FB" w:rsidP="00CD13D8">
      <w:pPr>
        <w:pStyle w:val="Dash"/>
        <w:tabs>
          <w:tab w:val="clear" w:pos="792"/>
        </w:tabs>
        <w:ind w:left="1152"/>
      </w:pPr>
      <w:r w:rsidRPr="00B71D90">
        <w:t xml:space="preserve">Evaluation of </w:t>
      </w:r>
      <w:r w:rsidR="00897AAB" w:rsidRPr="00B71D90">
        <w:t>correct time periods for numerato</w:t>
      </w:r>
      <w:r w:rsidR="005A33D3" w:rsidRPr="00B71D90">
        <w:t>r</w:t>
      </w:r>
      <w:r w:rsidR="00897AAB" w:rsidRPr="00B71D90">
        <w:t xml:space="preserve"> events</w:t>
      </w:r>
      <w:r w:rsidR="00286A96">
        <w:t>.</w:t>
      </w:r>
    </w:p>
    <w:p w:rsidR="007B7CBB" w:rsidRPr="00B71D90" w:rsidRDefault="007B7CBB" w:rsidP="00E80122">
      <w:pPr>
        <w:pStyle w:val="Bullet-1"/>
      </w:pPr>
      <w:r w:rsidRPr="00B71D90">
        <w:t>Member</w:t>
      </w:r>
      <w:r w:rsidR="00C440F3" w:rsidRPr="00B71D90">
        <w:t>-</w:t>
      </w:r>
      <w:r w:rsidRPr="00B71D90">
        <w:t>level files ensure accuracy, including</w:t>
      </w:r>
      <w:r w:rsidR="001152FB" w:rsidRPr="00B71D90">
        <w:t>:</w:t>
      </w:r>
    </w:p>
    <w:p w:rsidR="007B7CBB" w:rsidRPr="00B71D90" w:rsidRDefault="00296192" w:rsidP="00CD13D8">
      <w:pPr>
        <w:pStyle w:val="Dash"/>
        <w:tabs>
          <w:tab w:val="clear" w:pos="792"/>
        </w:tabs>
        <w:ind w:left="1152"/>
      </w:pPr>
      <w:r w:rsidRPr="00B71D90">
        <w:t>C</w:t>
      </w:r>
      <w:r w:rsidR="00C440F3" w:rsidRPr="00B71D90">
        <w:t xml:space="preserve">omparison of a sample of member-level files with source documents to ensure that all data are </w:t>
      </w:r>
      <w:r w:rsidR="007B7CBB" w:rsidRPr="00B71D90">
        <w:t>correctly processed</w:t>
      </w:r>
      <w:r w:rsidR="00286A96">
        <w:t>.</w:t>
      </w:r>
    </w:p>
    <w:p w:rsidR="007B7CBB" w:rsidRPr="00B71D90" w:rsidRDefault="007B7CBB" w:rsidP="00E80122">
      <w:pPr>
        <w:pStyle w:val="Bullet-1"/>
      </w:pPr>
      <w:r w:rsidRPr="00B71D90">
        <w:t>Code and program flowcharts ensure</w:t>
      </w:r>
      <w:r w:rsidR="00C440F3" w:rsidRPr="00B71D90">
        <w:t xml:space="preserve">: </w:t>
      </w:r>
    </w:p>
    <w:p w:rsidR="007B7CBB" w:rsidRPr="00B71D90" w:rsidRDefault="00C440F3" w:rsidP="00CD13D8">
      <w:pPr>
        <w:pStyle w:val="Dash"/>
        <w:tabs>
          <w:tab w:val="clear" w:pos="792"/>
        </w:tabs>
        <w:ind w:left="1152"/>
      </w:pPr>
      <w:r w:rsidRPr="00B71D90">
        <w:t>Identification of</w:t>
      </w:r>
      <w:r w:rsidR="007B7CBB" w:rsidRPr="00B71D90">
        <w:t xml:space="preserve"> specified medical and service events (e.g., diagnoses, procedures, prescriptions, volume of calls)</w:t>
      </w:r>
      <w:r w:rsidR="00286A96">
        <w:t>.</w:t>
      </w:r>
    </w:p>
    <w:p w:rsidR="007B7CBB" w:rsidRPr="00B71D90" w:rsidRDefault="007B7CBB" w:rsidP="007B7CBB">
      <w:pPr>
        <w:pStyle w:val="StdHead"/>
        <w:rPr>
          <w:color w:val="auto"/>
        </w:rPr>
      </w:pPr>
      <w:r w:rsidRPr="00B71D90">
        <w:rPr>
          <w:color w:val="auto"/>
        </w:rPr>
        <w:t>Software Certification</w:t>
      </w:r>
    </w:p>
    <w:p w:rsidR="007B7CBB" w:rsidRPr="00B71D90" w:rsidRDefault="007B7CBB" w:rsidP="007B7CBB">
      <w:pPr>
        <w:pStyle w:val="Body"/>
      </w:pPr>
      <w:r w:rsidRPr="00B71D90">
        <w:t xml:space="preserve">If the organization uses </w:t>
      </w:r>
      <w:r w:rsidR="00D47B4B" w:rsidRPr="00B71D90">
        <w:t>NCQA Certified software</w:t>
      </w:r>
      <w:r w:rsidRPr="00B71D90">
        <w:rPr>
          <w:i/>
        </w:rPr>
        <w:t>,</w:t>
      </w:r>
      <w:r w:rsidRPr="00B71D90">
        <w:t xml:space="preserve"> the auditor should review the vendor’s Certification Report. The auditor should not review the</w:t>
      </w:r>
      <w:r w:rsidR="004263B7" w:rsidRPr="00B71D90">
        <w:t xml:space="preserve"> numerator</w:t>
      </w:r>
      <w:r w:rsidRPr="00B71D90">
        <w:t xml:space="preserve"> logic for measures that received a </w:t>
      </w:r>
      <w:r w:rsidRPr="00B71D90">
        <w:rPr>
          <w:i/>
        </w:rPr>
        <w:t>Pass</w:t>
      </w:r>
      <w:r w:rsidRPr="00B71D90">
        <w:t xml:space="preserve"> status. </w:t>
      </w:r>
    </w:p>
    <w:p w:rsidR="00225414" w:rsidRDefault="007B7CBB" w:rsidP="007B7CBB">
      <w:pPr>
        <w:pStyle w:val="Body"/>
      </w:pPr>
      <w:r w:rsidRPr="00B71D90">
        <w:t>If any measure received a</w:t>
      </w:r>
      <w:r w:rsidRPr="00B71D90">
        <w:rPr>
          <w:i/>
        </w:rPr>
        <w:t xml:space="preserve"> Pass</w:t>
      </w:r>
      <w:r w:rsidRPr="00B71D90">
        <w:t xml:space="preserve"> </w:t>
      </w:r>
      <w:r w:rsidRPr="00B71D90">
        <w:rPr>
          <w:i/>
        </w:rPr>
        <w:t xml:space="preserve">With Qualifications </w:t>
      </w:r>
      <w:r w:rsidRPr="00B71D90">
        <w:t>status</w:t>
      </w:r>
      <w:r w:rsidRPr="00B71D90">
        <w:rPr>
          <w:i/>
        </w:rPr>
        <w:t>,</w:t>
      </w:r>
      <w:r w:rsidRPr="00B71D90">
        <w:t xml:space="preserve"> the auditor should review the Certification Report to determine the reasons for the status and review any organization or vendor workarounds to assess if there is material bias in the organization’s numerator. </w:t>
      </w:r>
    </w:p>
    <w:p w:rsidR="007B7CBB" w:rsidRPr="00B71D90" w:rsidRDefault="007B7CBB" w:rsidP="007B7CBB">
      <w:pPr>
        <w:pStyle w:val="Body"/>
      </w:pPr>
      <w:r w:rsidRPr="00B71D90">
        <w:t xml:space="preserve">If any measure received a </w:t>
      </w:r>
      <w:r w:rsidRPr="00B71D90">
        <w:rPr>
          <w:i/>
        </w:rPr>
        <w:t xml:space="preserve">Fail </w:t>
      </w:r>
      <w:r w:rsidRPr="00B71D90">
        <w:t>status</w:t>
      </w:r>
      <w:r w:rsidRPr="00B71D90">
        <w:rPr>
          <w:i/>
        </w:rPr>
        <w:t>,</w:t>
      </w:r>
      <w:r w:rsidRPr="00B71D90">
        <w:t xml:space="preserve"> the auditor must evaluate the process used by the organization or vendor to produce a numerator. </w:t>
      </w:r>
    </w:p>
    <w:p w:rsidR="007B7CBB" w:rsidRPr="00B71D90" w:rsidRDefault="007B7CBB" w:rsidP="007B7CBB">
      <w:pPr>
        <w:pStyle w:val="Body"/>
      </w:pPr>
      <w:r w:rsidRPr="00B71D90">
        <w:t>The auditor must review all source code associated with measures not included in certification.</w:t>
      </w:r>
    </w:p>
    <w:p w:rsidR="007B7CBB" w:rsidRPr="00B71D90" w:rsidRDefault="007B7CBB" w:rsidP="007B7CBB">
      <w:pPr>
        <w:pStyle w:val="Body"/>
        <w:rPr>
          <w:smallCaps/>
        </w:rPr>
        <w:sectPr w:rsidR="007B7CBB" w:rsidRPr="00B71D90" w:rsidSect="00550D6B">
          <w:footnotePr>
            <w:numStart w:val="2"/>
          </w:footnotePr>
          <w:pgSz w:w="12240" w:h="15840" w:code="1"/>
          <w:pgMar w:top="1080" w:right="1080" w:bottom="1080" w:left="1440" w:header="720" w:footer="720" w:gutter="0"/>
          <w:cols w:space="720"/>
        </w:sectPr>
      </w:pPr>
    </w:p>
    <w:p w:rsidR="007B7CBB" w:rsidRPr="00B71D90" w:rsidRDefault="007B7CBB" w:rsidP="00130EC6">
      <w:pPr>
        <w:pStyle w:val="Heading3"/>
        <w:pBdr>
          <w:top w:val="single" w:sz="4" w:space="2" w:color="auto"/>
          <w:bottom w:val="single" w:sz="4" w:space="2" w:color="auto"/>
        </w:pBdr>
        <w:spacing w:before="0"/>
        <w:ind w:left="810" w:hanging="810"/>
      </w:pPr>
      <w:r w:rsidRPr="00B71D90">
        <w:lastRenderedPageBreak/>
        <w:t>HD 4.</w:t>
      </w:r>
      <w:r w:rsidR="00130EC6" w:rsidRPr="00B71D90">
        <w:t>0</w:t>
      </w:r>
      <w:r w:rsidR="00130EC6" w:rsidRPr="00B71D90">
        <w:tab/>
      </w:r>
      <w:r w:rsidRPr="00B71D90">
        <w:t xml:space="preserve">Algorithmic Compliance </w:t>
      </w:r>
    </w:p>
    <w:p w:rsidR="007B7CBB" w:rsidRPr="00B71D90" w:rsidRDefault="007B7CBB" w:rsidP="00571C1E">
      <w:pPr>
        <w:pStyle w:val="StdText"/>
        <w:ind w:left="720" w:hanging="720"/>
      </w:pPr>
      <w:r w:rsidRPr="00B71D90">
        <w:t>HD 4.1</w:t>
      </w:r>
      <w:r w:rsidRPr="00B71D90">
        <w:tab/>
        <w:t>Rate calculations are arithmetically correct and precis</w:t>
      </w:r>
      <w:r w:rsidR="006107DD" w:rsidRPr="00B71D90">
        <w:t>e</w:t>
      </w:r>
      <w:r w:rsidRPr="00B71D90">
        <w:t>.</w:t>
      </w:r>
    </w:p>
    <w:p w:rsidR="0082145C" w:rsidRPr="00B71D90" w:rsidRDefault="007B7CBB" w:rsidP="00E80122">
      <w:pPr>
        <w:pStyle w:val="Bullet-1"/>
      </w:pPr>
      <w:r w:rsidRPr="00B71D90">
        <w:t>Code and program flowcharts ensure</w:t>
      </w:r>
      <w:r w:rsidR="0016511B" w:rsidRPr="00B71D90">
        <w:t xml:space="preserve"> </w:t>
      </w:r>
      <w:r w:rsidR="00E44617" w:rsidRPr="00B71D90">
        <w:t>accurate</w:t>
      </w:r>
      <w:r w:rsidR="00DA5FC5" w:rsidRPr="00B71D90">
        <w:t xml:space="preserve"> computing</w:t>
      </w:r>
      <w:r w:rsidR="007D4070" w:rsidRPr="00B71D90">
        <w:t xml:space="preserve"> of:</w:t>
      </w:r>
      <w:r w:rsidRPr="00B71D90">
        <w:t xml:space="preserve"> </w:t>
      </w:r>
    </w:p>
    <w:p w:rsidR="007B7CBB" w:rsidRPr="00B71D90" w:rsidRDefault="007D4070" w:rsidP="00CD13D8">
      <w:pPr>
        <w:pStyle w:val="Dash"/>
        <w:tabs>
          <w:tab w:val="clear" w:pos="792"/>
        </w:tabs>
        <w:ind w:left="1152"/>
      </w:pPr>
      <w:r w:rsidRPr="00B71D90">
        <w:t>R</w:t>
      </w:r>
      <w:r w:rsidR="00CD13D8" w:rsidRPr="00B71D90">
        <w:t>ow and column totals</w:t>
      </w:r>
      <w:r w:rsidR="000748F7">
        <w:t>.</w:t>
      </w:r>
    </w:p>
    <w:p w:rsidR="0082145C" w:rsidRPr="00B71D90" w:rsidRDefault="007D4070" w:rsidP="00CD13D8">
      <w:pPr>
        <w:pStyle w:val="Dash"/>
        <w:tabs>
          <w:tab w:val="clear" w:pos="792"/>
        </w:tabs>
        <w:ind w:left="1152"/>
      </w:pPr>
      <w:r w:rsidRPr="00B71D90">
        <w:t>P</w:t>
      </w:r>
      <w:r w:rsidR="00CD13D8" w:rsidRPr="00B71D90">
        <w:t>ercentages</w:t>
      </w:r>
      <w:r w:rsidR="000748F7">
        <w:t>.</w:t>
      </w:r>
    </w:p>
    <w:p w:rsidR="0082145C" w:rsidRPr="00B71D90" w:rsidRDefault="007D4070" w:rsidP="00CD13D8">
      <w:pPr>
        <w:pStyle w:val="Dash"/>
        <w:tabs>
          <w:tab w:val="clear" w:pos="792"/>
        </w:tabs>
        <w:ind w:left="1152"/>
      </w:pPr>
      <w:r w:rsidRPr="00B71D90">
        <w:t>A</w:t>
      </w:r>
      <w:r w:rsidR="00CD13D8" w:rsidRPr="00B71D90">
        <w:t>ve</w:t>
      </w:r>
      <w:r w:rsidR="0082145C" w:rsidRPr="00B71D90">
        <w:t>rage length of stay</w:t>
      </w:r>
      <w:r w:rsidR="000748F7">
        <w:t>.</w:t>
      </w:r>
    </w:p>
    <w:p w:rsidR="0024619F" w:rsidRPr="00B71D90" w:rsidRDefault="0024619F" w:rsidP="00CD13D8">
      <w:pPr>
        <w:pStyle w:val="Dash"/>
        <w:tabs>
          <w:tab w:val="clear" w:pos="792"/>
        </w:tabs>
        <w:ind w:left="1152"/>
      </w:pPr>
      <w:r w:rsidRPr="00B71D90">
        <w:t>Average adjusted probability</w:t>
      </w:r>
      <w:r w:rsidR="00286A96">
        <w:t>.</w:t>
      </w:r>
    </w:p>
    <w:p w:rsidR="007B7CBB" w:rsidRPr="00B71D90" w:rsidRDefault="007B7CBB" w:rsidP="00571C1E">
      <w:pPr>
        <w:pStyle w:val="StdText"/>
        <w:ind w:left="720" w:hanging="720"/>
      </w:pPr>
      <w:r w:rsidRPr="00B71D90">
        <w:t>HD 4.2</w:t>
      </w:r>
      <w:r w:rsidRPr="00B71D90">
        <w:tab/>
        <w:t>Algorithms for combining administrative numerator events with numerator events abstracted from medical records are accurate.</w:t>
      </w:r>
    </w:p>
    <w:p w:rsidR="007B7CBB" w:rsidRPr="00B71D90" w:rsidRDefault="007B7CBB" w:rsidP="00E80122">
      <w:pPr>
        <w:pStyle w:val="Bullet-1"/>
      </w:pPr>
      <w:r w:rsidRPr="00B71D90">
        <w:t>Code and program flowcharts ensure</w:t>
      </w:r>
      <w:r w:rsidR="0016511B" w:rsidRPr="00B71D90">
        <w:t xml:space="preserve"> </w:t>
      </w:r>
      <w:r w:rsidR="00E44617" w:rsidRPr="00B71D90">
        <w:t xml:space="preserve">that </w:t>
      </w:r>
      <w:r w:rsidR="0016511B" w:rsidRPr="00B71D90">
        <w:t>n</w:t>
      </w:r>
      <w:r w:rsidRPr="00B71D90">
        <w:t>umerator counts for hybrid measures properly include administrative and medical record data</w:t>
      </w:r>
      <w:r w:rsidR="00286A96">
        <w:t>.</w:t>
      </w:r>
    </w:p>
    <w:p w:rsidR="007B7CBB" w:rsidRPr="00B71D90" w:rsidRDefault="007B7CBB" w:rsidP="00571C1E">
      <w:pPr>
        <w:pStyle w:val="StdText"/>
        <w:ind w:left="720" w:hanging="720"/>
      </w:pPr>
      <w:r w:rsidRPr="00B71D90">
        <w:t>HD 4.3</w:t>
      </w:r>
      <w:r w:rsidRPr="00B71D90">
        <w:tab/>
        <w:t xml:space="preserve">The organization correctly reported last year’s audited and reported rate for rotated measures. </w:t>
      </w:r>
    </w:p>
    <w:p w:rsidR="007B7CBB" w:rsidRPr="00B71D90" w:rsidRDefault="00BB4DB1" w:rsidP="00E80122">
      <w:pPr>
        <w:pStyle w:val="Bullet-1"/>
        <w:tabs>
          <w:tab w:val="clear" w:pos="576"/>
        </w:tabs>
      </w:pPr>
      <w:r>
        <w:t xml:space="preserve">The organization ensured that the previous </w:t>
      </w:r>
      <w:r w:rsidR="007B7CBB" w:rsidRPr="00B71D90">
        <w:t>year’s rates were audited and reportable</w:t>
      </w:r>
      <w:r w:rsidR="001A79A1">
        <w:t>.</w:t>
      </w:r>
    </w:p>
    <w:p w:rsidR="0082145C" w:rsidRPr="00B71D90" w:rsidRDefault="0082145C" w:rsidP="00571C1E">
      <w:pPr>
        <w:pStyle w:val="StdText"/>
        <w:ind w:left="720" w:hanging="720"/>
      </w:pPr>
      <w:r w:rsidRPr="00B71D90">
        <w:t>HD 4.4</w:t>
      </w:r>
      <w:r w:rsidRPr="00B71D90">
        <w:tab/>
        <w:t>Rates are accurately entered into the data submission tool</w:t>
      </w:r>
      <w:r w:rsidR="00130EC6" w:rsidRPr="00B71D90">
        <w:t>.</w:t>
      </w:r>
    </w:p>
    <w:p w:rsidR="0082145C" w:rsidRPr="00B71D90" w:rsidRDefault="0082145C" w:rsidP="00E80122">
      <w:pPr>
        <w:pStyle w:val="Bullet-1"/>
        <w:tabs>
          <w:tab w:val="clear" w:pos="576"/>
        </w:tabs>
      </w:pPr>
      <w:r w:rsidRPr="00B71D90">
        <w:t>Numerator and denominator counts are accurately entered into the submission tool</w:t>
      </w:r>
      <w:r w:rsidR="00286A96">
        <w:t>.</w:t>
      </w:r>
    </w:p>
    <w:p w:rsidR="00DB754B" w:rsidRPr="00B71D90" w:rsidRDefault="00DB754B" w:rsidP="00DB754B">
      <w:pPr>
        <w:pStyle w:val="StdText"/>
        <w:ind w:left="720" w:hanging="720"/>
      </w:pPr>
      <w:r w:rsidRPr="00B71D90">
        <w:t>HD 4.5</w:t>
      </w:r>
      <w:r w:rsidR="0031368E" w:rsidRPr="00B71D90">
        <w:tab/>
        <w:t xml:space="preserve">Member-level and summary-level data should match (e.g., CMS Medicare summary-level data in IDSS and </w:t>
      </w:r>
      <w:r w:rsidR="00DF06BD" w:rsidRPr="00B71D90">
        <w:t xml:space="preserve">the </w:t>
      </w:r>
      <w:r w:rsidR="0031368E" w:rsidRPr="00B71D90">
        <w:t>member-level data in the CMS Patient-Level Detail File).</w:t>
      </w:r>
    </w:p>
    <w:p w:rsidR="007B7CBB" w:rsidRPr="00B71D90" w:rsidRDefault="007B7CBB" w:rsidP="007B7CBB">
      <w:pPr>
        <w:pStyle w:val="StdHead"/>
        <w:rPr>
          <w:color w:val="auto"/>
        </w:rPr>
      </w:pPr>
      <w:r w:rsidRPr="00B71D90">
        <w:rPr>
          <w:color w:val="auto"/>
        </w:rPr>
        <w:t>Software Certification</w:t>
      </w:r>
    </w:p>
    <w:p w:rsidR="007B7CBB" w:rsidRPr="00B71D90" w:rsidRDefault="007B7CBB" w:rsidP="007B7CBB">
      <w:pPr>
        <w:pStyle w:val="Body"/>
      </w:pPr>
      <w:r w:rsidRPr="00B71D90">
        <w:t xml:space="preserve">The auditor is required to assess compliance with this standard. No item is affected by software certification. </w:t>
      </w:r>
    </w:p>
    <w:p w:rsidR="007B7CBB" w:rsidRPr="00B71D90" w:rsidRDefault="007B7CBB" w:rsidP="007B7CBB">
      <w:pPr>
        <w:pStyle w:val="Body"/>
      </w:pPr>
    </w:p>
    <w:p w:rsidR="007B7CBB" w:rsidRPr="00B71D90" w:rsidRDefault="007B7CBB" w:rsidP="007B7CBB">
      <w:pPr>
        <w:pStyle w:val="Heading3"/>
        <w:pBdr>
          <w:top w:val="single" w:sz="4" w:space="1" w:color="auto"/>
          <w:bottom w:val="single" w:sz="4" w:space="1" w:color="auto"/>
        </w:pBdr>
        <w:spacing w:before="0"/>
        <w:sectPr w:rsidR="007B7CBB" w:rsidRPr="00B71D90" w:rsidSect="00550D6B">
          <w:footnotePr>
            <w:numStart w:val="2"/>
          </w:footnotePr>
          <w:pgSz w:w="12240" w:h="15840" w:code="1"/>
          <w:pgMar w:top="1080" w:right="1080" w:bottom="1080" w:left="1440" w:header="720" w:footer="720" w:gutter="0"/>
          <w:cols w:space="720"/>
        </w:sectPr>
      </w:pPr>
    </w:p>
    <w:p w:rsidR="007B7CBB" w:rsidRPr="00B71D90" w:rsidRDefault="007B7CBB" w:rsidP="004547A0">
      <w:pPr>
        <w:pStyle w:val="Heading3"/>
        <w:pBdr>
          <w:top w:val="single" w:sz="4" w:space="2" w:color="auto"/>
          <w:bottom w:val="single" w:sz="4" w:space="2" w:color="auto"/>
        </w:pBdr>
        <w:spacing w:before="0"/>
        <w:ind w:left="810" w:hanging="810"/>
      </w:pPr>
      <w:r w:rsidRPr="00B71D90">
        <w:lastRenderedPageBreak/>
        <w:t xml:space="preserve">HD 5.0 </w:t>
      </w:r>
      <w:r w:rsidR="007F3046" w:rsidRPr="00B71D90">
        <w:t>Outsourced or Delegated</w:t>
      </w:r>
      <w:r w:rsidRPr="00B71D90">
        <w:t xml:space="preserve"> Reporting Function</w:t>
      </w:r>
    </w:p>
    <w:p w:rsidR="007B7CBB" w:rsidRPr="00B71D90" w:rsidRDefault="007B7CBB" w:rsidP="00571C1E">
      <w:pPr>
        <w:pStyle w:val="StdText"/>
        <w:ind w:left="720" w:hanging="720"/>
      </w:pPr>
      <w:r w:rsidRPr="00B71D90">
        <w:t>HD 5.1</w:t>
      </w:r>
      <w:r w:rsidRPr="00B71D90">
        <w:tab/>
        <w:t xml:space="preserve">If the organization delegates any aspect of </w:t>
      </w:r>
      <w:r w:rsidR="00D31BF0" w:rsidRPr="00B71D90">
        <w:t xml:space="preserve">measure </w:t>
      </w:r>
      <w:r w:rsidRPr="00B71D90">
        <w:t xml:space="preserve">data collection or reporting to an external </w:t>
      </w:r>
      <w:r w:rsidR="002D6059" w:rsidRPr="00B71D90">
        <w:t xml:space="preserve">software </w:t>
      </w:r>
      <w:r w:rsidRPr="00B71D90">
        <w:t>vendor</w:t>
      </w:r>
      <w:r w:rsidR="0083754B" w:rsidRPr="00B71D90">
        <w:t xml:space="preserve">, </w:t>
      </w:r>
      <w:r w:rsidR="002D6059" w:rsidRPr="00B71D90">
        <w:t xml:space="preserve">software </w:t>
      </w:r>
      <w:r w:rsidR="0083754B" w:rsidRPr="00B71D90">
        <w:t xml:space="preserve">vendor </w:t>
      </w:r>
      <w:r w:rsidR="00D1207A" w:rsidRPr="00B71D90">
        <w:t xml:space="preserve">data </w:t>
      </w:r>
      <w:r w:rsidR="0083754B" w:rsidRPr="00B71D90">
        <w:t>meet</w:t>
      </w:r>
      <w:r w:rsidRPr="00B71D90">
        <w:t xml:space="preserve"> all applicable NCQA HEDIS Compliance Audit standards.</w:t>
      </w:r>
    </w:p>
    <w:p w:rsidR="007B7CBB" w:rsidRPr="00B71D90" w:rsidRDefault="007B7CBB" w:rsidP="00E80122">
      <w:pPr>
        <w:pStyle w:val="Bullet-1"/>
        <w:tabs>
          <w:tab w:val="clear" w:pos="576"/>
        </w:tabs>
      </w:pPr>
      <w:r w:rsidRPr="00B71D90">
        <w:t xml:space="preserve">Materials for all previous IS and HD standards ensure </w:t>
      </w:r>
      <w:r w:rsidR="00E44617" w:rsidRPr="00B71D90">
        <w:t xml:space="preserve">that </w:t>
      </w:r>
      <w:r w:rsidRPr="00B71D90">
        <w:t>the</w:t>
      </w:r>
      <w:r w:rsidR="002D6059" w:rsidRPr="00B71D90">
        <w:t xml:space="preserve"> software</w:t>
      </w:r>
      <w:r w:rsidRPr="00B71D90">
        <w:t xml:space="preserve"> vendor </w:t>
      </w:r>
      <w:r w:rsidR="00E44617" w:rsidRPr="00B71D90">
        <w:t xml:space="preserve">complies </w:t>
      </w:r>
      <w:r w:rsidRPr="00B71D90">
        <w:t>with standards</w:t>
      </w:r>
      <w:r w:rsidR="001A79A1">
        <w:t>.</w:t>
      </w:r>
    </w:p>
    <w:p w:rsidR="007B7CBB" w:rsidRPr="00B71D90" w:rsidRDefault="007B7CBB" w:rsidP="00E80122">
      <w:pPr>
        <w:pStyle w:val="Bullet-1"/>
      </w:pPr>
      <w:r w:rsidRPr="00B71D90">
        <w:t>Contracts ensure</w:t>
      </w:r>
      <w:r w:rsidR="00E44617" w:rsidRPr="00B71D90">
        <w:t>:</w:t>
      </w:r>
    </w:p>
    <w:p w:rsidR="007B7CBB" w:rsidRPr="00B71D90" w:rsidRDefault="00CD13D8" w:rsidP="00CD13D8">
      <w:pPr>
        <w:pStyle w:val="Dash"/>
        <w:tabs>
          <w:tab w:val="clear" w:pos="792"/>
        </w:tabs>
        <w:ind w:left="1152"/>
      </w:pPr>
      <w:r w:rsidRPr="00B71D90">
        <w:t>C</w:t>
      </w:r>
      <w:r w:rsidR="007B7CBB" w:rsidRPr="00B71D90">
        <w:t>ommunicat</w:t>
      </w:r>
      <w:r w:rsidR="00E44617" w:rsidRPr="00B71D90">
        <w:t>ion of</w:t>
      </w:r>
      <w:r w:rsidR="007B7CBB" w:rsidRPr="00B71D90">
        <w:t xml:space="preserve"> quality standards</w:t>
      </w:r>
      <w:r w:rsidR="000748F7">
        <w:t>.</w:t>
      </w:r>
    </w:p>
    <w:p w:rsidR="007B7CBB" w:rsidRPr="00B71D90" w:rsidRDefault="00E44617" w:rsidP="00CD13D8">
      <w:pPr>
        <w:pStyle w:val="Dash"/>
        <w:tabs>
          <w:tab w:val="clear" w:pos="792"/>
        </w:tabs>
        <w:ind w:left="1152"/>
      </w:pPr>
      <w:r w:rsidRPr="00B71D90">
        <w:t xml:space="preserve">Data submission is required </w:t>
      </w:r>
      <w:r w:rsidR="007B7CBB" w:rsidRPr="00B71D90">
        <w:t xml:space="preserve">on a timeline consistent </w:t>
      </w:r>
      <w:r w:rsidRPr="00B71D90">
        <w:t xml:space="preserve">with </w:t>
      </w:r>
      <w:r w:rsidR="00D31BF0" w:rsidRPr="00B71D90">
        <w:t xml:space="preserve">measure </w:t>
      </w:r>
      <w:r w:rsidR="007B7CBB" w:rsidRPr="00B71D90">
        <w:t>reporting</w:t>
      </w:r>
      <w:r w:rsidR="00286A96">
        <w:t>.</w:t>
      </w:r>
    </w:p>
    <w:p w:rsidR="007B7CBB" w:rsidRPr="00B71D90" w:rsidRDefault="007B7CBB" w:rsidP="00571C1E">
      <w:pPr>
        <w:pStyle w:val="StdText"/>
        <w:ind w:left="720" w:hanging="720"/>
      </w:pPr>
      <w:r w:rsidRPr="00B71D90">
        <w:t>HD 5.2</w:t>
      </w:r>
      <w:r w:rsidRPr="00B71D90">
        <w:tab/>
        <w:t>The organization regularly monitors</w:t>
      </w:r>
      <w:r w:rsidR="002D6059" w:rsidRPr="00B71D90">
        <w:t xml:space="preserve"> software</w:t>
      </w:r>
      <w:r w:rsidRPr="00B71D90">
        <w:t xml:space="preserve"> vendor performance against expected performance standards.</w:t>
      </w:r>
    </w:p>
    <w:p w:rsidR="007B7CBB" w:rsidRPr="00B71D90" w:rsidRDefault="007B7CBB" w:rsidP="00E80122">
      <w:pPr>
        <w:pStyle w:val="Bullet-1"/>
        <w:tabs>
          <w:tab w:val="clear" w:pos="576"/>
        </w:tabs>
      </w:pPr>
      <w:r w:rsidRPr="00B71D90">
        <w:t xml:space="preserve">Studies and </w:t>
      </w:r>
      <w:r w:rsidR="00E44617" w:rsidRPr="00B71D90">
        <w:t>reports:</w:t>
      </w:r>
    </w:p>
    <w:p w:rsidR="007B7CBB" w:rsidRPr="00B71D90" w:rsidRDefault="00CD13D8" w:rsidP="00CD13D8">
      <w:pPr>
        <w:pStyle w:val="Dash"/>
        <w:tabs>
          <w:tab w:val="clear" w:pos="792"/>
        </w:tabs>
        <w:ind w:left="1152"/>
      </w:pPr>
      <w:r w:rsidRPr="00B71D90">
        <w:t xml:space="preserve">Determine if </w:t>
      </w:r>
      <w:r w:rsidR="007B7CBB" w:rsidRPr="00B71D90">
        <w:t>the organization reviews</w:t>
      </w:r>
      <w:r w:rsidR="002D6059" w:rsidRPr="00B71D90">
        <w:t xml:space="preserve"> software</w:t>
      </w:r>
      <w:r w:rsidR="007B7CBB" w:rsidRPr="00B71D90">
        <w:t xml:space="preserve"> vendor performance against quality and timeliness standards</w:t>
      </w:r>
      <w:r w:rsidR="000748F7">
        <w:t>.</w:t>
      </w:r>
    </w:p>
    <w:p w:rsidR="007B7CBB" w:rsidRPr="00B71D90" w:rsidRDefault="00CD13D8" w:rsidP="00CD13D8">
      <w:pPr>
        <w:pStyle w:val="Dash"/>
        <w:tabs>
          <w:tab w:val="clear" w:pos="792"/>
        </w:tabs>
        <w:ind w:left="1152"/>
      </w:pPr>
      <w:r w:rsidRPr="00B71D90">
        <w:t>En</w:t>
      </w:r>
      <w:r w:rsidR="007B7CBB" w:rsidRPr="00B71D90">
        <w:t xml:space="preserve">sure that no data </w:t>
      </w:r>
      <w:r w:rsidR="00E44617" w:rsidRPr="00B71D90">
        <w:t xml:space="preserve">are </w:t>
      </w:r>
      <w:r w:rsidR="007B7CBB" w:rsidRPr="00B71D90">
        <w:t xml:space="preserve">lost or modified during transfer among </w:t>
      </w:r>
      <w:r w:rsidR="002D6059" w:rsidRPr="00B71D90">
        <w:t xml:space="preserve">software </w:t>
      </w:r>
      <w:r w:rsidR="007B7CBB" w:rsidRPr="00B71D90">
        <w:t>vendors</w:t>
      </w:r>
      <w:r w:rsidR="000748F7">
        <w:t>.</w:t>
      </w:r>
    </w:p>
    <w:p w:rsidR="007B7CBB" w:rsidRPr="00B71D90" w:rsidRDefault="00CD13D8" w:rsidP="00CD13D8">
      <w:pPr>
        <w:pStyle w:val="Dash"/>
        <w:tabs>
          <w:tab w:val="clear" w:pos="792"/>
        </w:tabs>
        <w:ind w:left="1152"/>
      </w:pPr>
      <w:r w:rsidRPr="00B71D90">
        <w:t xml:space="preserve">Ensure </w:t>
      </w:r>
      <w:r w:rsidR="00E80122" w:rsidRPr="00B71D90">
        <w:t xml:space="preserve">that </w:t>
      </w:r>
      <w:r w:rsidR="002D6059" w:rsidRPr="00B71D90">
        <w:t xml:space="preserve">software </w:t>
      </w:r>
      <w:r w:rsidRPr="00B71D90">
        <w:t>vendor errors and deficiencies are addressed completely and i</w:t>
      </w:r>
      <w:r w:rsidR="007B7CBB" w:rsidRPr="00B71D90">
        <w:t>n a timely manner</w:t>
      </w:r>
      <w:r w:rsidR="00286A96">
        <w:t>.</w:t>
      </w:r>
    </w:p>
    <w:p w:rsidR="007B7CBB" w:rsidRPr="00B71D90" w:rsidRDefault="007B7CBB" w:rsidP="00571C1E">
      <w:pPr>
        <w:pStyle w:val="StdText"/>
        <w:ind w:left="720" w:hanging="720"/>
      </w:pPr>
      <w:r w:rsidRPr="00B71D90">
        <w:t>HD 5.3</w:t>
      </w:r>
      <w:r w:rsidRPr="00B71D90">
        <w:tab/>
        <w:t xml:space="preserve">If aspects of </w:t>
      </w:r>
      <w:r w:rsidR="00D31BF0" w:rsidRPr="00B71D90">
        <w:t xml:space="preserve">measure </w:t>
      </w:r>
      <w:r w:rsidRPr="00B71D90">
        <w:t>data collection or reporting are delegated to multiple</w:t>
      </w:r>
      <w:r w:rsidR="002D6059" w:rsidRPr="00B71D90">
        <w:t xml:space="preserve"> software</w:t>
      </w:r>
      <w:r w:rsidRPr="00B71D90">
        <w:t xml:space="preserve"> vendors, the organization coordinates</w:t>
      </w:r>
      <w:r w:rsidR="002D6059" w:rsidRPr="00B71D90">
        <w:t xml:space="preserve"> software</w:t>
      </w:r>
      <w:r w:rsidRPr="00B71D90">
        <w:t xml:space="preserve"> </w:t>
      </w:r>
      <w:r w:rsidR="00D1207A" w:rsidRPr="00B71D90">
        <w:t xml:space="preserve">vendor </w:t>
      </w:r>
      <w:r w:rsidRPr="00B71D90">
        <w:t xml:space="preserve">activities to safeguard the integrity of </w:t>
      </w:r>
      <w:r w:rsidR="00D31BF0" w:rsidRPr="00B71D90">
        <w:t xml:space="preserve">measure </w:t>
      </w:r>
      <w:r w:rsidRPr="00B71D90">
        <w:t>data.</w:t>
      </w:r>
    </w:p>
    <w:p w:rsidR="007B7CBB" w:rsidRPr="00B71D90" w:rsidRDefault="007B7CBB" w:rsidP="00E80122">
      <w:pPr>
        <w:pStyle w:val="Bullet-1"/>
        <w:tabs>
          <w:tab w:val="clear" w:pos="576"/>
        </w:tabs>
      </w:pPr>
      <w:r w:rsidRPr="00B71D90">
        <w:t>Flowcharts determine if the data flow among</w:t>
      </w:r>
      <w:r w:rsidR="002D6059" w:rsidRPr="00B71D90">
        <w:t xml:space="preserve"> software</w:t>
      </w:r>
      <w:r w:rsidRPr="00B71D90">
        <w:t xml:space="preserve"> vendors will impede accuracy or timeliness of </w:t>
      </w:r>
      <w:r w:rsidR="00E44617" w:rsidRPr="00B71D90">
        <w:t xml:space="preserve">the </w:t>
      </w:r>
      <w:r w:rsidR="00D31BF0" w:rsidRPr="00B71D90">
        <w:t xml:space="preserve">measure </w:t>
      </w:r>
      <w:r w:rsidRPr="00B71D90">
        <w:t>report</w:t>
      </w:r>
      <w:r w:rsidR="00286A96">
        <w:t>.</w:t>
      </w:r>
    </w:p>
    <w:p w:rsidR="00887E7F" w:rsidRPr="00B71D90" w:rsidRDefault="0047034C" w:rsidP="001B5DAB">
      <w:pPr>
        <w:pStyle w:val="StdText"/>
        <w:ind w:left="720" w:hanging="720"/>
      </w:pPr>
      <w:r w:rsidRPr="00B71D90">
        <w:t>HD 5.4</w:t>
      </w:r>
      <w:r w:rsidRPr="00B71D90">
        <w:tab/>
      </w:r>
      <w:r w:rsidR="001A79A1">
        <w:t>The o</w:t>
      </w:r>
      <w:r w:rsidR="004547A0" w:rsidRPr="00B71D90">
        <w:t xml:space="preserve">rganization works with </w:t>
      </w:r>
      <w:r w:rsidR="0070263B" w:rsidRPr="00B71D90">
        <w:t>the v</w:t>
      </w:r>
      <w:r w:rsidR="0031368E" w:rsidRPr="00B71D90">
        <w:t xml:space="preserve">endor </w:t>
      </w:r>
      <w:r w:rsidR="004547A0" w:rsidRPr="00B71D90">
        <w:t xml:space="preserve">to get </w:t>
      </w:r>
      <w:r w:rsidR="0031368E" w:rsidRPr="00B71D90">
        <w:t>preliminary and final rate</w:t>
      </w:r>
      <w:r w:rsidR="004547A0" w:rsidRPr="00B71D90">
        <w:t>s</w:t>
      </w:r>
      <w:r w:rsidR="0031368E" w:rsidRPr="00B71D90">
        <w:t xml:space="preserve"> </w:t>
      </w:r>
      <w:r w:rsidR="004547A0" w:rsidRPr="00B71D90">
        <w:t>according to the audit timeline</w:t>
      </w:r>
      <w:r w:rsidR="0031368E" w:rsidRPr="00B71D90">
        <w:t>.</w:t>
      </w:r>
    </w:p>
    <w:p w:rsidR="007B7CBB" w:rsidRPr="00B71D90" w:rsidRDefault="007B7CBB" w:rsidP="00924DB9">
      <w:pPr>
        <w:pStyle w:val="StdHead"/>
        <w:rPr>
          <w:color w:val="auto"/>
        </w:rPr>
      </w:pPr>
      <w:r w:rsidRPr="00B71D90">
        <w:rPr>
          <w:color w:val="auto"/>
        </w:rPr>
        <w:t>Software Certification</w:t>
      </w:r>
    </w:p>
    <w:p w:rsidR="00030D7F" w:rsidRPr="00B71D90" w:rsidRDefault="007B7CBB" w:rsidP="00DB7F33">
      <w:pPr>
        <w:pStyle w:val="Body"/>
      </w:pPr>
      <w:r w:rsidRPr="00B71D90">
        <w:t>The auditor is required to assess compliance with this standard. No item is affected by software certification.</w:t>
      </w:r>
    </w:p>
    <w:p w:rsidR="00F15071" w:rsidRPr="00B71D90" w:rsidRDefault="00F15071" w:rsidP="00F15071"/>
    <w:p w:rsidR="00F15071" w:rsidRPr="00B71D90" w:rsidRDefault="00F15071" w:rsidP="00DB7F33">
      <w:pPr>
        <w:pStyle w:val="Body"/>
      </w:pPr>
    </w:p>
    <w:sectPr w:rsidR="00F15071" w:rsidRPr="00B71D90" w:rsidSect="00106134">
      <w:footnotePr>
        <w:numStart w:val="2"/>
      </w:footnotePr>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303" w:rsidRDefault="00A66303">
      <w:r>
        <w:separator/>
      </w:r>
    </w:p>
  </w:endnote>
  <w:endnote w:type="continuationSeparator" w:id="0">
    <w:p w:rsidR="00A66303" w:rsidRDefault="00A663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Bdr>
        <w:top w:val="none" w:sz="0" w:space="0" w:color="auto"/>
      </w:pBd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2013, Volume 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2006, Volume 5</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A96271">
    <w:pPr>
      <w:pStyle w:val="Footer"/>
    </w:pPr>
    <w:r>
      <w:t>HEDIS 2013, Volume 5</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Pr="00331C41" w:rsidRDefault="00A66303" w:rsidP="00331C41">
    <w:pPr>
      <w:pStyle w:val="Footer"/>
      <w:jc w:val="right"/>
    </w:pPr>
    <w:r>
      <w:t>HEDIS 2013, Volume 5</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Pr="00305A4F" w:rsidRDefault="00A66303" w:rsidP="00280886">
    <w:pPr>
      <w:pStyle w:val="Footer"/>
      <w:pBdr>
        <w:top w:val="none" w:sz="0" w:space="0" w:color="auto"/>
      </w:pBdr>
      <w:tabs>
        <w:tab w:val="clear" w:pos="9720"/>
        <w:tab w:val="left" w:pos="8543"/>
      </w:tabs>
    </w:pPr>
    <w:r>
      <w:tab/>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2013, Volume 5</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jc w:val="right"/>
    </w:pPr>
    <w:r>
      <w:t>HEDIS 2013, Volume 5</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2013, Volume 5</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Pr="007A12E9" w:rsidRDefault="00A66303" w:rsidP="007A12E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CB6FCB"/>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2013, Volume 5</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Pr="00D90804" w:rsidRDefault="00A66303" w:rsidP="000D7F9F">
    <w:pPr>
      <w:pStyle w:val="Footer"/>
    </w:pPr>
    <w:r>
      <w:tab/>
      <w:t>HEDIS 2013, Volume 5</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Bdr>
        <w:top w:val="none" w:sz="0" w:space="0" w:color="auto"/>
      </w:pBd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2013, Volume 5</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jc w:val="right"/>
    </w:pPr>
    <w:r>
      <w:t>HEDIS 2013, Volume 5</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jc w:val="right"/>
    </w:pPr>
    <w:r>
      <w:t>HEDIS 2013, Volume 5</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jc w:val="right"/>
    </w:pPr>
    <w:r>
      <w:t>HEDIS 2013, Volume 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2013, Volume 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8C196C">
    <w:pPr>
      <w:pStyle w:val="Footer"/>
      <w:jc w:val="right"/>
    </w:pPr>
    <w:r>
      <w:t>HEDIS 2013, Volume 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Pr>
    <w:r>
      <w:t>HEDIS 2002, Volume 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tabs>
        <w:tab w:val="right" w:pos="9360"/>
      </w:tabs>
      <w:jc w:val="right"/>
    </w:pPr>
    <w:r>
      <w:t>HEDIS 2013, Volume 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tabs>
        <w:tab w:val="right" w:pos="9360"/>
      </w:tabs>
    </w:pPr>
    <w:r>
      <w:t>HEDIS 2013, Volume 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Pr="00950A97" w:rsidRDefault="00A66303" w:rsidP="00950A97"/>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Footer"/>
      <w:pBdr>
        <w:top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303" w:rsidRDefault="00A66303">
      <w:r>
        <w:separator/>
      </w:r>
    </w:p>
  </w:footnote>
  <w:footnote w:type="continuationSeparator" w:id="0">
    <w:p w:rsidR="00A66303" w:rsidRDefault="00A663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Pr="00950A97" w:rsidRDefault="00A66303" w:rsidP="00950A97"/>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Bdr>
        <w:bottom w:val="none" w:sz="0" w:space="0" w:color="auto"/>
      </w:pBd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pPr>
    <w:fldSimple w:instr=" PAGE ">
      <w:r w:rsidR="00A66303">
        <w:rPr>
          <w:noProof/>
        </w:rPr>
        <w:t>8</w:t>
      </w:r>
    </w:fldSimple>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rsidP="006A4760">
    <w:pPr>
      <w:pStyle w:val="Header"/>
      <w:ind w:left="720" w:hanging="720"/>
    </w:pPr>
    <w:fldSimple w:instr=" PAGE ">
      <w:r w:rsidR="005833FB">
        <w:rPr>
          <w:noProof/>
        </w:rPr>
        <w:t>2</w:t>
      </w:r>
    </w:fldSimple>
    <w:r w:rsidR="00A66303">
      <w:tab/>
      <w:t>Overview</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Pr>
    <w:r>
      <w:tab/>
      <w:t>Overview</w:t>
    </w:r>
    <w:r>
      <w:tab/>
    </w:r>
    <w:fldSimple w:instr=" PAGE ">
      <w:r w:rsidR="005833FB">
        <w:rPr>
          <w:noProof/>
        </w:rPr>
        <w:t>1</w:t>
      </w:r>
    </w:fldSimple>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rsidP="006A4760">
    <w:pPr>
      <w:pStyle w:val="Header"/>
      <w:ind w:left="720" w:hanging="720"/>
    </w:pPr>
    <w:fldSimple w:instr=" PAGE ">
      <w:r w:rsidR="001D03C5">
        <w:rPr>
          <w:noProof/>
        </w:rPr>
        <w:t>4</w:t>
      </w:r>
    </w:fldSimple>
    <w:r w:rsidR="00A66303">
      <w:tab/>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7A53A9"/>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rsidP="006A4760">
    <w:pPr>
      <w:pStyle w:val="Header"/>
      <w:ind w:left="720" w:hanging="720"/>
    </w:pPr>
    <w:fldSimple w:instr=" PAGE ">
      <w:r w:rsidR="001D03C5">
        <w:rPr>
          <w:noProof/>
        </w:rPr>
        <w:t>6</w:t>
      </w:r>
    </w:fldSimple>
    <w:r w:rsidR="00A66303">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Bdr>
        <w:bottom w:val="none" w:sz="0" w:space="0" w:color="auto"/>
      </w:pBd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tabs>
        <w:tab w:val="left" w:pos="720"/>
      </w:tabs>
    </w:pPr>
    <w:fldSimple w:instr=" PAGE ">
      <w:r w:rsidR="005833FB">
        <w:rPr>
          <w:noProof/>
        </w:rPr>
        <w:t>8</w:t>
      </w:r>
    </w:fldSimple>
    <w:r w:rsidR="00A66303">
      <w:tab/>
      <w:t>Introduction</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Pr>
    <w:r>
      <w:tab/>
      <w:t>Introduction</w:t>
    </w:r>
    <w:r>
      <w:tab/>
    </w:r>
    <w:fldSimple w:instr=" PAGE ">
      <w:r w:rsidR="005833FB">
        <w:rPr>
          <w:noProof/>
        </w:rPr>
        <w:t>7</w:t>
      </w:r>
    </w:fldSimple>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tabs>
        <w:tab w:val="left" w:pos="720"/>
      </w:tabs>
    </w:pPr>
    <w:fldSimple w:instr=" PAGE ">
      <w:r w:rsidR="005833FB">
        <w:rPr>
          <w:noProof/>
        </w:rPr>
        <w:t>14</w:t>
      </w:r>
    </w:fldSimple>
    <w:r w:rsidR="00A66303">
      <w:tab/>
      <w:t>The Audit Process</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AC3F8D">
    <w:pPr>
      <w:pStyle w:val="Header"/>
      <w:pBdr>
        <w:bottom w:val="single" w:sz="4" w:space="1" w:color="auto"/>
      </w:pBdr>
    </w:pPr>
    <w:r>
      <w:tab/>
      <w:t>The Audit Process</w:t>
    </w:r>
    <w:r>
      <w:tab/>
    </w:r>
    <w:fldSimple w:instr=" PAGE ">
      <w:r w:rsidR="005833FB">
        <w:rPr>
          <w:noProof/>
        </w:rPr>
        <w:t>15</w:t>
      </w:r>
    </w:fldSimple>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tabs>
        <w:tab w:val="left" w:pos="720"/>
      </w:tabs>
    </w:pPr>
    <w:fldSimple w:instr=" PAGE ">
      <w:r w:rsidR="001D03C5">
        <w:rPr>
          <w:noProof/>
        </w:rPr>
        <w:t>16</w:t>
      </w:r>
    </w:fldSimple>
    <w:r w:rsidR="00A66303">
      <w:tab/>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Pr="00AC3F8D" w:rsidRDefault="00A66303" w:rsidP="00AC3F8D">
    <w:pPr>
      <w:pStyle w:val="Header"/>
      <w:pBdr>
        <w:bottom w:val="none" w:sz="0" w:space="0" w:color="auto"/>
      </w:pBd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tabs>
        <w:tab w:val="left" w:pos="720"/>
      </w:tabs>
    </w:pPr>
    <w:fldSimple w:instr=" PAGE ">
      <w:r w:rsidR="001D03C5">
        <w:rPr>
          <w:noProof/>
        </w:rPr>
        <w:t>18</w:t>
      </w:r>
    </w:fldSimple>
    <w:r w:rsidR="00A66303">
      <w:tab/>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tabs>
        <w:tab w:val="left" w:pos="720"/>
      </w:tabs>
    </w:pPr>
    <w:r>
      <w:rPr>
        <w:rStyle w:val="PageNumber"/>
      </w:rPr>
      <w:fldChar w:fldCharType="begin"/>
    </w:r>
    <w:r w:rsidR="00A66303">
      <w:rPr>
        <w:rStyle w:val="PageNumber"/>
      </w:rPr>
      <w:instrText xml:space="preserve"> PAGE </w:instrText>
    </w:r>
    <w:r>
      <w:rPr>
        <w:rStyle w:val="PageNumber"/>
      </w:rPr>
      <w:fldChar w:fldCharType="separate"/>
    </w:r>
    <w:r w:rsidR="005833FB">
      <w:rPr>
        <w:rStyle w:val="PageNumber"/>
        <w:noProof/>
      </w:rPr>
      <w:t>20</w:t>
    </w:r>
    <w:r>
      <w:rPr>
        <w:rStyle w:val="PageNumber"/>
      </w:rPr>
      <w:fldChar w:fldCharType="end"/>
    </w:r>
    <w:r w:rsidR="00A66303">
      <w:rPr>
        <w:rStyle w:val="PageNumber"/>
      </w:rPr>
      <w:tab/>
      <w:t>Policies and Procedures</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AC3F8D">
    <w:pPr>
      <w:pStyle w:val="Header"/>
      <w:pBdr>
        <w:bottom w:val="single" w:sz="4" w:space="1" w:color="auto"/>
      </w:pBdr>
    </w:pPr>
    <w:r>
      <w:tab/>
      <w:t>Policies and Procedures</w:t>
    </w:r>
    <w:r>
      <w:tab/>
    </w:r>
    <w:fldSimple w:instr=" PAGE ">
      <w:r w:rsidR="005833FB">
        <w:rPr>
          <w:noProof/>
        </w:rPr>
        <w:t>19</w:t>
      </w:r>
    </w:fldSimple>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pPr>
    <w:fldSimple w:instr=" PAGE ">
      <w:r w:rsidR="001D03C5">
        <w:rPr>
          <w:noProof/>
        </w:rPr>
        <w:t>22</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pPr>
    <w:fldSimple w:instr=" PAGE ">
      <w:r w:rsidR="00A66303">
        <w:rPr>
          <w:noProof/>
        </w:rPr>
        <w:t>4</w:t>
      </w:r>
    </w:fldSimple>
    <w:r w:rsidR="00A66303">
      <w:t xml:space="preserve"> | </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Bdr>
        <w:bottom w:val="none" w:sz="0" w:space="0" w:color="auto"/>
      </w:pBdr>
      <w:tabs>
        <w:tab w:val="right" w:pos="8460"/>
      </w:tabs>
      <w:ind w:right="-7"/>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pPr>
    <w:fldSimple w:instr=" PAGE ">
      <w:r w:rsidR="001D03C5">
        <w:rPr>
          <w:noProof/>
        </w:rPr>
        <w:t>24</w:t>
      </w:r>
    </w:fldSimple>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tabs>
        <w:tab w:val="right" w:pos="8460"/>
      </w:tabs>
      <w:ind w:right="-7"/>
    </w:pPr>
    <w:fldSimple w:instr=" PAGE ">
      <w:r w:rsidR="001D03C5">
        <w:rPr>
          <w:noProof/>
        </w:rPr>
        <w:t>25</w:t>
      </w:r>
    </w:fldSimple>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rsidP="00BC1F53">
    <w:pPr>
      <w:pStyle w:val="Header"/>
      <w:tabs>
        <w:tab w:val="left" w:pos="720"/>
      </w:tabs>
    </w:pPr>
    <w:fldSimple w:instr=" PAGE ">
      <w:r w:rsidR="001D03C5">
        <w:rPr>
          <w:noProof/>
        </w:rPr>
        <w:t>42</w:t>
      </w:r>
    </w:fldSimple>
    <w:r w:rsidR="00A66303">
      <w:tab/>
      <w:t>HEDIS Compliance Audit Standards: IS Standards</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Pr>
    <w:r>
      <w:tab/>
      <w:t>HEDIS Compliance Audit Standards</w:t>
    </w:r>
    <w:r>
      <w:tab/>
    </w:r>
    <w:fldSimple w:instr=" PAGE ">
      <w:r w:rsidR="005833FB">
        <w:rPr>
          <w:noProof/>
        </w:rPr>
        <w:t>25</w:t>
      </w:r>
    </w:fldSimple>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Pr>
    <w:r>
      <w:tab/>
      <w:t>HEDIS Compliance Audit Standards: IS Standards</w:t>
    </w:r>
    <w:r>
      <w:tab/>
    </w:r>
    <w:fldSimple w:instr=" PAGE ">
      <w:r w:rsidR="001D03C5">
        <w:rPr>
          <w:noProof/>
        </w:rPr>
        <w:t>41</w:t>
      </w:r>
    </w:fldSimple>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tabs>
        <w:tab w:val="left" w:pos="720"/>
      </w:tabs>
    </w:pPr>
    <w:fldSimple w:instr=" PAGE ">
      <w:r w:rsidR="001D03C5">
        <w:rPr>
          <w:noProof/>
        </w:rPr>
        <w:t>48</w:t>
      </w:r>
    </w:fldSimple>
    <w:r w:rsidR="00A66303">
      <w:tab/>
      <w:t>HEDIS Compliance Audit Standards: HD Standards</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Pr>
    <w:r>
      <w:tab/>
      <w:t>HEDIS Compliance Audit Standards: HD Standards</w:t>
    </w:r>
    <w:r>
      <w:tab/>
    </w:r>
    <w:fldSimple w:instr=" PAGE ">
      <w:r w:rsidR="001D03C5">
        <w:rPr>
          <w:noProof/>
        </w:rPr>
        <w:t>47</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550D6B">
    <w:pPr>
      <w:pStyle w:val="Header"/>
      <w:jc w:val="right"/>
    </w:pPr>
    <w:r>
      <w:t>Acknowledgments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rsidP="00950A97">
    <w:pPr>
      <w:pStyle w:val="Header"/>
      <w:tabs>
        <w:tab w:val="left" w:pos="720"/>
      </w:tabs>
    </w:pPr>
    <w:r>
      <w:t>Acknowledgments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pPr>
    <w:r>
      <w:tab/>
      <w:t>Table of Contents</w:t>
    </w:r>
    <w:r>
      <w:tab/>
    </w:r>
    <w:fldSimple w:instr=" PAGE ">
      <w:r w:rsidR="009A1213">
        <w:rPr>
          <w:noProof/>
        </w:rPr>
        <w:t>5</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13" w:rsidRDefault="009A1213" w:rsidP="00550D6B">
    <w:pPr>
      <w:pStyle w:val="Header"/>
      <w:jc w:val="right"/>
    </w:pPr>
    <w:r>
      <w:t>Table of Contents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A66303">
    <w:pPr>
      <w:pStyle w:val="Header"/>
      <w:tabs>
        <w:tab w:val="left" w:pos="720"/>
      </w:tabs>
    </w:pPr>
    <w:r>
      <w:t>Table of Contents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03" w:rsidRDefault="003C5E74">
    <w:pPr>
      <w:pStyle w:val="Header"/>
    </w:pPr>
    <w:fldSimple w:instr=" PAGE ">
      <w:r w:rsidR="009A1213">
        <w:rPr>
          <w:noProof/>
        </w:rPr>
        <w:t>6</w:t>
      </w:r>
    </w:fldSimple>
    <w:r w:rsidR="00A66303">
      <w:tab/>
      <w:t>Overview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1709612"/>
    <w:lvl w:ilvl="0">
      <w:start w:val="1"/>
      <w:numFmt w:val="decimal"/>
      <w:lvlText w:val="%1."/>
      <w:lvlJc w:val="left"/>
      <w:pPr>
        <w:tabs>
          <w:tab w:val="num" w:pos="1800"/>
        </w:tabs>
        <w:ind w:left="1800" w:hanging="360"/>
      </w:pPr>
    </w:lvl>
  </w:abstractNum>
  <w:abstractNum w:abstractNumId="1">
    <w:nsid w:val="FFFFFF7D"/>
    <w:multiLevelType w:val="singleLevel"/>
    <w:tmpl w:val="29A0490A"/>
    <w:lvl w:ilvl="0">
      <w:start w:val="1"/>
      <w:numFmt w:val="decimal"/>
      <w:lvlText w:val="%1."/>
      <w:lvlJc w:val="left"/>
      <w:pPr>
        <w:tabs>
          <w:tab w:val="num" w:pos="1440"/>
        </w:tabs>
        <w:ind w:left="1440" w:hanging="360"/>
      </w:pPr>
    </w:lvl>
  </w:abstractNum>
  <w:abstractNum w:abstractNumId="2">
    <w:nsid w:val="FFFFFF7E"/>
    <w:multiLevelType w:val="singleLevel"/>
    <w:tmpl w:val="21A29470"/>
    <w:lvl w:ilvl="0">
      <w:start w:val="1"/>
      <w:numFmt w:val="decimal"/>
      <w:lvlText w:val="%1."/>
      <w:lvlJc w:val="left"/>
      <w:pPr>
        <w:tabs>
          <w:tab w:val="num" w:pos="1080"/>
        </w:tabs>
        <w:ind w:left="1080" w:hanging="360"/>
      </w:pPr>
    </w:lvl>
  </w:abstractNum>
  <w:abstractNum w:abstractNumId="3">
    <w:nsid w:val="FFFFFF7F"/>
    <w:multiLevelType w:val="singleLevel"/>
    <w:tmpl w:val="3F4CAF22"/>
    <w:lvl w:ilvl="0">
      <w:start w:val="1"/>
      <w:numFmt w:val="decimal"/>
      <w:lvlText w:val="%1."/>
      <w:lvlJc w:val="left"/>
      <w:pPr>
        <w:tabs>
          <w:tab w:val="num" w:pos="720"/>
        </w:tabs>
        <w:ind w:left="720" w:hanging="360"/>
      </w:pPr>
    </w:lvl>
  </w:abstractNum>
  <w:abstractNum w:abstractNumId="4">
    <w:nsid w:val="FFFFFF80"/>
    <w:multiLevelType w:val="singleLevel"/>
    <w:tmpl w:val="AE22F7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C5490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5C49E8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BB2A2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91C6C04"/>
    <w:lvl w:ilvl="0">
      <w:start w:val="1"/>
      <w:numFmt w:val="decimal"/>
      <w:lvlText w:val="%1."/>
      <w:lvlJc w:val="left"/>
      <w:pPr>
        <w:tabs>
          <w:tab w:val="num" w:pos="360"/>
        </w:tabs>
        <w:ind w:left="360" w:hanging="360"/>
      </w:pPr>
    </w:lvl>
  </w:abstractNum>
  <w:abstractNum w:abstractNumId="9">
    <w:nsid w:val="FFFFFF89"/>
    <w:multiLevelType w:val="singleLevel"/>
    <w:tmpl w:val="C430F17E"/>
    <w:lvl w:ilvl="0">
      <w:start w:val="1"/>
      <w:numFmt w:val="bullet"/>
      <w:lvlText w:val=""/>
      <w:lvlJc w:val="left"/>
      <w:pPr>
        <w:tabs>
          <w:tab w:val="num" w:pos="360"/>
        </w:tabs>
        <w:ind w:left="360" w:hanging="360"/>
      </w:pPr>
      <w:rPr>
        <w:rFonts w:ascii="Symbol" w:hAnsi="Symbol" w:hint="default"/>
      </w:rPr>
    </w:lvl>
  </w:abstractNum>
  <w:abstractNum w:abstractNumId="10">
    <w:nsid w:val="016935C2"/>
    <w:multiLevelType w:val="hybridMultilevel"/>
    <w:tmpl w:val="42808960"/>
    <w:lvl w:ilvl="0" w:tplc="4AFAAAFC">
      <w:start w:val="1"/>
      <w:numFmt w:val="bullet"/>
      <w:lvlText w:val="–"/>
      <w:lvlJc w:val="left"/>
      <w:pPr>
        <w:tabs>
          <w:tab w:val="num" w:pos="984"/>
        </w:tabs>
        <w:ind w:left="984" w:hanging="360"/>
      </w:pPr>
      <w:rPr>
        <w:rFonts w:ascii="Arial" w:hAnsi="Aria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1">
    <w:nsid w:val="03127F8E"/>
    <w:multiLevelType w:val="hybridMultilevel"/>
    <w:tmpl w:val="5AE80E42"/>
    <w:lvl w:ilvl="0" w:tplc="BFB07F1E">
      <w:start w:val="1"/>
      <w:numFmt w:val="bullet"/>
      <w:lvlText w:val="–"/>
      <w:lvlJc w:val="left"/>
      <w:pPr>
        <w:tabs>
          <w:tab w:val="num" w:pos="792"/>
        </w:tabs>
        <w:ind w:left="792" w:hanging="216"/>
      </w:pPr>
      <w:rPr>
        <w:rFonts w:ascii="Arial" w:hAnsi="Aria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4378E934">
      <w:start w:val="1"/>
      <w:numFmt w:val="bullet"/>
      <w:lvlText w:val=""/>
      <w:lvlJc w:val="left"/>
      <w:pPr>
        <w:tabs>
          <w:tab w:val="num" w:pos="1512"/>
        </w:tabs>
        <w:ind w:left="1512" w:hanging="288"/>
      </w:pPr>
      <w:rPr>
        <w:rFonts w:ascii="Symbol" w:hAnsi="Symbol" w:hint="default"/>
        <w:color w:val="auto"/>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137BC4"/>
    <w:multiLevelType w:val="singleLevel"/>
    <w:tmpl w:val="357A13D4"/>
    <w:lvl w:ilvl="0">
      <w:start w:val="1"/>
      <w:numFmt w:val="bullet"/>
      <w:pStyle w:val="QuestionText"/>
      <w:lvlText w:val=""/>
      <w:lvlJc w:val="left"/>
      <w:pPr>
        <w:tabs>
          <w:tab w:val="num" w:pos="432"/>
        </w:tabs>
        <w:ind w:left="360" w:hanging="288"/>
      </w:pPr>
      <w:rPr>
        <w:rFonts w:ascii="Symbol" w:hAnsi="Symbol" w:hint="default"/>
        <w:sz w:val="22"/>
      </w:rPr>
    </w:lvl>
  </w:abstractNum>
  <w:abstractNum w:abstractNumId="13">
    <w:nsid w:val="0CE84B25"/>
    <w:multiLevelType w:val="multilevel"/>
    <w:tmpl w:val="747E6790"/>
    <w:lvl w:ilvl="0">
      <w:start w:val="1"/>
      <w:numFmt w:val="bullet"/>
      <w:lvlText w:val="–"/>
      <w:lvlJc w:val="left"/>
      <w:pPr>
        <w:tabs>
          <w:tab w:val="num" w:pos="792"/>
        </w:tabs>
        <w:ind w:left="792" w:hanging="216"/>
      </w:pPr>
      <w:rPr>
        <w:rFonts w:ascii="Arial" w:hAnsi="Aria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872"/>
        </w:tabs>
        <w:ind w:left="1800" w:hanging="360"/>
      </w:pPr>
      <w:rPr>
        <w:rFonts w:ascii="Symbol" w:hAnsi="Symbol" w:hint="default"/>
        <w:color w:val="auto"/>
        <w:sz w:val="20"/>
        <w:szCs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FAE440E"/>
    <w:multiLevelType w:val="multilevel"/>
    <w:tmpl w:val="136EBDBA"/>
    <w:lvl w:ilvl="0">
      <w:start w:val="1"/>
      <w:numFmt w:val="bullet"/>
      <w:lvlText w:val=""/>
      <w:lvlJc w:val="left"/>
      <w:pPr>
        <w:tabs>
          <w:tab w:val="num" w:pos="576"/>
        </w:tabs>
        <w:ind w:left="936" w:hanging="216"/>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nsid w:val="0FF55F2B"/>
    <w:multiLevelType w:val="hybridMultilevel"/>
    <w:tmpl w:val="6BA867E8"/>
    <w:lvl w:ilvl="0" w:tplc="9A8EA3AE">
      <w:start w:val="1"/>
      <w:numFmt w:val="decimal"/>
      <w:lvlText w:val="%1."/>
      <w:lvlJc w:val="left"/>
      <w:pPr>
        <w:tabs>
          <w:tab w:val="num" w:pos="1080"/>
        </w:tabs>
        <w:ind w:left="108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99517A9"/>
    <w:multiLevelType w:val="hybridMultilevel"/>
    <w:tmpl w:val="24E01B8A"/>
    <w:lvl w:ilvl="0" w:tplc="F78EA5B4">
      <w:start w:val="1"/>
      <w:numFmt w:val="bullet"/>
      <w:pStyle w:val="DRPDash"/>
      <w:lvlText w:val="–"/>
      <w:lvlJc w:val="left"/>
      <w:pPr>
        <w:tabs>
          <w:tab w:val="num" w:pos="360"/>
        </w:tabs>
        <w:ind w:left="1152" w:hanging="216"/>
      </w:pPr>
      <w:rPr>
        <w:rFonts w:ascii="Arial" w:hAnsi="Arial" w:hint="default"/>
        <w:sz w:val="20"/>
      </w:rPr>
    </w:lvl>
    <w:lvl w:ilvl="1" w:tplc="04090003">
      <w:start w:val="1"/>
      <w:numFmt w:val="bullet"/>
      <w:lvlText w:val="o"/>
      <w:lvlJc w:val="left"/>
      <w:pPr>
        <w:tabs>
          <w:tab w:val="num" w:pos="2016"/>
        </w:tabs>
        <w:ind w:left="2016" w:hanging="360"/>
      </w:pPr>
      <w:rPr>
        <w:rFonts w:ascii="Courier New" w:hAnsi="Courier New" w:cs="Courier New" w:hint="default"/>
      </w:rPr>
    </w:lvl>
    <w:lvl w:ilvl="2" w:tplc="04090005">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9">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3A476FD"/>
    <w:multiLevelType w:val="singleLevel"/>
    <w:tmpl w:val="DC509248"/>
    <w:lvl w:ilvl="0">
      <w:start w:val="1"/>
      <w:numFmt w:val="bullet"/>
      <w:lvlText w:val=""/>
      <w:lvlJc w:val="left"/>
      <w:pPr>
        <w:tabs>
          <w:tab w:val="num" w:pos="432"/>
        </w:tabs>
        <w:ind w:left="360" w:hanging="288"/>
      </w:pPr>
      <w:rPr>
        <w:rFonts w:ascii="Symbol" w:hAnsi="Symbol" w:hint="default"/>
      </w:rPr>
    </w:lvl>
  </w:abstractNum>
  <w:abstractNum w:abstractNumId="21">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DE533D0"/>
    <w:multiLevelType w:val="multilevel"/>
    <w:tmpl w:val="415A83FA"/>
    <w:lvl w:ilvl="0">
      <w:start w:val="1"/>
      <w:numFmt w:val="bullet"/>
      <w:lvlText w:val="–"/>
      <w:lvlJc w:val="left"/>
      <w:pPr>
        <w:tabs>
          <w:tab w:val="num" w:pos="792"/>
        </w:tabs>
        <w:ind w:left="792" w:hanging="216"/>
      </w:pPr>
      <w:rPr>
        <w:rFonts w:ascii="Arial" w:hAnsi="Aria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4B2538E"/>
    <w:multiLevelType w:val="hybridMultilevel"/>
    <w:tmpl w:val="68D2C010"/>
    <w:lvl w:ilvl="0" w:tplc="04090001">
      <w:start w:val="1"/>
      <w:numFmt w:val="bullet"/>
      <w:lvlText w:val=""/>
      <w:lvlJc w:val="left"/>
      <w:pPr>
        <w:tabs>
          <w:tab w:val="num" w:pos="769"/>
        </w:tabs>
        <w:ind w:left="769" w:hanging="360"/>
      </w:pPr>
      <w:rPr>
        <w:rFonts w:ascii="Symbol" w:hAnsi="Symbol" w:hint="default"/>
      </w:rPr>
    </w:lvl>
    <w:lvl w:ilvl="1" w:tplc="04090003" w:tentative="1">
      <w:start w:val="1"/>
      <w:numFmt w:val="bullet"/>
      <w:lvlText w:val="o"/>
      <w:lvlJc w:val="left"/>
      <w:pPr>
        <w:tabs>
          <w:tab w:val="num" w:pos="1489"/>
        </w:tabs>
        <w:ind w:left="1489" w:hanging="360"/>
      </w:pPr>
      <w:rPr>
        <w:rFonts w:ascii="Courier New" w:hAnsi="Courier New" w:cs="Courier New" w:hint="default"/>
      </w:rPr>
    </w:lvl>
    <w:lvl w:ilvl="2" w:tplc="04090005" w:tentative="1">
      <w:start w:val="1"/>
      <w:numFmt w:val="bullet"/>
      <w:lvlText w:val=""/>
      <w:lvlJc w:val="left"/>
      <w:pPr>
        <w:tabs>
          <w:tab w:val="num" w:pos="2209"/>
        </w:tabs>
        <w:ind w:left="2209" w:hanging="360"/>
      </w:pPr>
      <w:rPr>
        <w:rFonts w:ascii="Wingdings" w:hAnsi="Wingdings" w:hint="default"/>
      </w:rPr>
    </w:lvl>
    <w:lvl w:ilvl="3" w:tplc="04090001" w:tentative="1">
      <w:start w:val="1"/>
      <w:numFmt w:val="bullet"/>
      <w:lvlText w:val=""/>
      <w:lvlJc w:val="left"/>
      <w:pPr>
        <w:tabs>
          <w:tab w:val="num" w:pos="2929"/>
        </w:tabs>
        <w:ind w:left="2929" w:hanging="360"/>
      </w:pPr>
      <w:rPr>
        <w:rFonts w:ascii="Symbol" w:hAnsi="Symbol" w:hint="default"/>
      </w:rPr>
    </w:lvl>
    <w:lvl w:ilvl="4" w:tplc="04090003" w:tentative="1">
      <w:start w:val="1"/>
      <w:numFmt w:val="bullet"/>
      <w:lvlText w:val="o"/>
      <w:lvlJc w:val="left"/>
      <w:pPr>
        <w:tabs>
          <w:tab w:val="num" w:pos="3649"/>
        </w:tabs>
        <w:ind w:left="3649" w:hanging="360"/>
      </w:pPr>
      <w:rPr>
        <w:rFonts w:ascii="Courier New" w:hAnsi="Courier New" w:cs="Courier New" w:hint="default"/>
      </w:rPr>
    </w:lvl>
    <w:lvl w:ilvl="5" w:tplc="04090005" w:tentative="1">
      <w:start w:val="1"/>
      <w:numFmt w:val="bullet"/>
      <w:lvlText w:val=""/>
      <w:lvlJc w:val="left"/>
      <w:pPr>
        <w:tabs>
          <w:tab w:val="num" w:pos="4369"/>
        </w:tabs>
        <w:ind w:left="4369" w:hanging="360"/>
      </w:pPr>
      <w:rPr>
        <w:rFonts w:ascii="Wingdings" w:hAnsi="Wingdings" w:hint="default"/>
      </w:rPr>
    </w:lvl>
    <w:lvl w:ilvl="6" w:tplc="04090001" w:tentative="1">
      <w:start w:val="1"/>
      <w:numFmt w:val="bullet"/>
      <w:lvlText w:val=""/>
      <w:lvlJc w:val="left"/>
      <w:pPr>
        <w:tabs>
          <w:tab w:val="num" w:pos="5089"/>
        </w:tabs>
        <w:ind w:left="5089" w:hanging="360"/>
      </w:pPr>
      <w:rPr>
        <w:rFonts w:ascii="Symbol" w:hAnsi="Symbol" w:hint="default"/>
      </w:rPr>
    </w:lvl>
    <w:lvl w:ilvl="7" w:tplc="04090003" w:tentative="1">
      <w:start w:val="1"/>
      <w:numFmt w:val="bullet"/>
      <w:lvlText w:val="o"/>
      <w:lvlJc w:val="left"/>
      <w:pPr>
        <w:tabs>
          <w:tab w:val="num" w:pos="5809"/>
        </w:tabs>
        <w:ind w:left="5809" w:hanging="360"/>
      </w:pPr>
      <w:rPr>
        <w:rFonts w:ascii="Courier New" w:hAnsi="Courier New" w:cs="Courier New" w:hint="default"/>
      </w:rPr>
    </w:lvl>
    <w:lvl w:ilvl="8" w:tplc="04090005" w:tentative="1">
      <w:start w:val="1"/>
      <w:numFmt w:val="bullet"/>
      <w:lvlText w:val=""/>
      <w:lvlJc w:val="left"/>
      <w:pPr>
        <w:tabs>
          <w:tab w:val="num" w:pos="6529"/>
        </w:tabs>
        <w:ind w:left="6529" w:hanging="360"/>
      </w:pPr>
      <w:rPr>
        <w:rFonts w:ascii="Wingdings" w:hAnsi="Wingdings" w:hint="default"/>
      </w:rPr>
    </w:lvl>
  </w:abstractNum>
  <w:abstractNum w:abstractNumId="26">
    <w:nsid w:val="651A6D66"/>
    <w:multiLevelType w:val="hybridMultilevel"/>
    <w:tmpl w:val="844CE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B146BB"/>
    <w:multiLevelType w:val="hybridMultilevel"/>
    <w:tmpl w:val="747E6790"/>
    <w:lvl w:ilvl="0" w:tplc="BFB07F1E">
      <w:start w:val="1"/>
      <w:numFmt w:val="bullet"/>
      <w:lvlText w:val="–"/>
      <w:lvlJc w:val="left"/>
      <w:pPr>
        <w:tabs>
          <w:tab w:val="num" w:pos="792"/>
        </w:tabs>
        <w:ind w:left="792" w:hanging="216"/>
      </w:pPr>
      <w:rPr>
        <w:rFonts w:ascii="Arial" w:hAnsi="Aria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5400E0AA">
      <w:start w:val="1"/>
      <w:numFmt w:val="bullet"/>
      <w:lvlText w:val=""/>
      <w:lvlJc w:val="left"/>
      <w:pPr>
        <w:tabs>
          <w:tab w:val="num" w:pos="1872"/>
        </w:tabs>
        <w:ind w:left="1800" w:hanging="360"/>
      </w:pPr>
      <w:rPr>
        <w:rFonts w:ascii="Symbol" w:hAnsi="Symbol" w:hint="default"/>
        <w:color w:val="auto"/>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05E0715"/>
    <w:multiLevelType w:val="hybridMultilevel"/>
    <w:tmpl w:val="A998D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0"/>
  </w:num>
  <w:num w:numId="3">
    <w:abstractNumId w:val="24"/>
  </w:num>
  <w:num w:numId="4">
    <w:abstractNumId w:val="17"/>
  </w:num>
  <w:num w:numId="5">
    <w:abstractNumId w:val="21"/>
  </w:num>
  <w:num w:numId="6">
    <w:abstractNumId w:val="16"/>
  </w:num>
  <w:num w:numId="7">
    <w:abstractNumId w:val="23"/>
  </w:num>
  <w:num w:numId="8">
    <w:abstractNumId w:val="19"/>
  </w:num>
  <w:num w:numId="9">
    <w:abstractNumId w:val="15"/>
  </w:num>
  <w:num w:numId="10">
    <w:abstractNumId w:val="18"/>
  </w:num>
  <w:num w:numId="11">
    <w:abstractNumId w:val="23"/>
  </w:num>
  <w:num w:numId="12">
    <w:abstractNumId w:val="17"/>
  </w:num>
  <w:num w:numId="13">
    <w:abstractNumId w:val="17"/>
  </w:num>
  <w:num w:numId="14">
    <w:abstractNumId w:val="23"/>
  </w:num>
  <w:num w:numId="15">
    <w:abstractNumId w:val="10"/>
  </w:num>
  <w:num w:numId="16">
    <w:abstractNumId w:val="24"/>
  </w:num>
  <w:num w:numId="17">
    <w:abstractNumId w:val="24"/>
  </w:num>
  <w:num w:numId="18">
    <w:abstractNumId w:val="17"/>
  </w:num>
  <w:num w:numId="19">
    <w:abstractNumId w:val="22"/>
  </w:num>
  <w:num w:numId="20">
    <w:abstractNumId w:val="27"/>
  </w:num>
  <w:num w:numId="21">
    <w:abstractNumId w:val="13"/>
  </w:num>
  <w:num w:numId="22">
    <w:abstractNumId w:val="11"/>
  </w:num>
  <w:num w:numId="23">
    <w:abstractNumId w:val="14"/>
  </w:num>
  <w:num w:numId="24">
    <w:abstractNumId w:val="25"/>
  </w:num>
  <w:num w:numId="25">
    <w:abstractNumId w:val="24"/>
  </w:num>
  <w:num w:numId="26">
    <w:abstractNumId w:val="23"/>
  </w:num>
  <w:num w:numId="27">
    <w:abstractNumId w:val="24"/>
  </w:num>
  <w:num w:numId="28">
    <w:abstractNumId w:val="24"/>
  </w:num>
  <w:num w:numId="29">
    <w:abstractNumId w:val="24"/>
  </w:num>
  <w:num w:numId="30">
    <w:abstractNumId w:val="24"/>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8"/>
  </w:num>
  <w:num w:numId="42">
    <w:abstractNumId w:val="26"/>
  </w:num>
  <w:num w:numId="43">
    <w:abstractNumId w:val="24"/>
  </w:num>
  <w:num w:numId="44">
    <w:abstractNumId w:val="24"/>
  </w:num>
  <w:num w:numId="45">
    <w:abstractNumId w:val="24"/>
  </w:num>
  <w:num w:numId="46">
    <w:abstractNumId w:val="23"/>
  </w:num>
  <w:num w:numId="47">
    <w:abstractNumId w:val="2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TrueTypeFonts/>
  <w:embedSystemFonts/>
  <w:saveSubsetFonts/>
  <w:mirrorMargins/>
  <w:proofState w:spelling="clean"/>
  <w:stylePaneFormatFilter w:val="3F01"/>
  <w:doNotTrackFormatting/>
  <w:defaultTabStop w:val="720"/>
  <w:evenAndOddHeaders/>
  <w:displayHorizontalDrawingGridEvery w:val="0"/>
  <w:displayVerticalDrawingGridEvery w:val="0"/>
  <w:doNotUseMarginsForDrawingGridOrigin/>
  <w:noPunctuationKerning/>
  <w:characterSpacingControl w:val="doNotCompress"/>
  <w:footnotePr>
    <w:numStart w:val="2"/>
    <w:footnote w:id="-1"/>
    <w:footnote w:id="0"/>
  </w:footnotePr>
  <w:endnotePr>
    <w:endnote w:id="-1"/>
    <w:endnote w:id="0"/>
  </w:endnotePr>
  <w:compat/>
  <w:rsids>
    <w:rsidRoot w:val="00C37CDE"/>
    <w:rsid w:val="000009FA"/>
    <w:rsid w:val="00000E66"/>
    <w:rsid w:val="00000E83"/>
    <w:rsid w:val="00002D90"/>
    <w:rsid w:val="00003150"/>
    <w:rsid w:val="00003E19"/>
    <w:rsid w:val="00006172"/>
    <w:rsid w:val="0000627F"/>
    <w:rsid w:val="0001052E"/>
    <w:rsid w:val="00011093"/>
    <w:rsid w:val="00011B32"/>
    <w:rsid w:val="00017F46"/>
    <w:rsid w:val="000201C7"/>
    <w:rsid w:val="00022E6C"/>
    <w:rsid w:val="00022F31"/>
    <w:rsid w:val="00027461"/>
    <w:rsid w:val="000279B9"/>
    <w:rsid w:val="00030D7F"/>
    <w:rsid w:val="00031112"/>
    <w:rsid w:val="00033EC7"/>
    <w:rsid w:val="0003519D"/>
    <w:rsid w:val="000355BE"/>
    <w:rsid w:val="000362F5"/>
    <w:rsid w:val="000366F7"/>
    <w:rsid w:val="00036C79"/>
    <w:rsid w:val="00036D18"/>
    <w:rsid w:val="00042778"/>
    <w:rsid w:val="00043455"/>
    <w:rsid w:val="00047F1E"/>
    <w:rsid w:val="00047F4C"/>
    <w:rsid w:val="00051F37"/>
    <w:rsid w:val="00053100"/>
    <w:rsid w:val="00054CD4"/>
    <w:rsid w:val="00055DFA"/>
    <w:rsid w:val="00056A62"/>
    <w:rsid w:val="00056F3B"/>
    <w:rsid w:val="00057621"/>
    <w:rsid w:val="00064392"/>
    <w:rsid w:val="000647B4"/>
    <w:rsid w:val="000650F2"/>
    <w:rsid w:val="0006711C"/>
    <w:rsid w:val="00067E78"/>
    <w:rsid w:val="00070017"/>
    <w:rsid w:val="00070705"/>
    <w:rsid w:val="00070DE8"/>
    <w:rsid w:val="000713CB"/>
    <w:rsid w:val="000713D6"/>
    <w:rsid w:val="00072FCF"/>
    <w:rsid w:val="00073DE7"/>
    <w:rsid w:val="000748F7"/>
    <w:rsid w:val="00076C42"/>
    <w:rsid w:val="00080B63"/>
    <w:rsid w:val="000827E7"/>
    <w:rsid w:val="000838F1"/>
    <w:rsid w:val="00086127"/>
    <w:rsid w:val="000865DB"/>
    <w:rsid w:val="00090591"/>
    <w:rsid w:val="00090A54"/>
    <w:rsid w:val="000924EF"/>
    <w:rsid w:val="00093053"/>
    <w:rsid w:val="00093FA8"/>
    <w:rsid w:val="000950E4"/>
    <w:rsid w:val="000951F5"/>
    <w:rsid w:val="00095FD2"/>
    <w:rsid w:val="00096E34"/>
    <w:rsid w:val="000A4C4C"/>
    <w:rsid w:val="000A75A3"/>
    <w:rsid w:val="000B02A6"/>
    <w:rsid w:val="000B199D"/>
    <w:rsid w:val="000B23DD"/>
    <w:rsid w:val="000B5AA7"/>
    <w:rsid w:val="000B67A8"/>
    <w:rsid w:val="000B6E1F"/>
    <w:rsid w:val="000C0C28"/>
    <w:rsid w:val="000C4480"/>
    <w:rsid w:val="000C557D"/>
    <w:rsid w:val="000D2264"/>
    <w:rsid w:val="000D3366"/>
    <w:rsid w:val="000D49F4"/>
    <w:rsid w:val="000D59A4"/>
    <w:rsid w:val="000D5CDB"/>
    <w:rsid w:val="000D787F"/>
    <w:rsid w:val="000D7F9F"/>
    <w:rsid w:val="000E1ABF"/>
    <w:rsid w:val="000E2D08"/>
    <w:rsid w:val="000E4366"/>
    <w:rsid w:val="000E6035"/>
    <w:rsid w:val="000E64A4"/>
    <w:rsid w:val="000F15E3"/>
    <w:rsid w:val="000F3C0E"/>
    <w:rsid w:val="000F5CF4"/>
    <w:rsid w:val="0010328E"/>
    <w:rsid w:val="00103394"/>
    <w:rsid w:val="001046BE"/>
    <w:rsid w:val="001051E4"/>
    <w:rsid w:val="00106134"/>
    <w:rsid w:val="00106FE5"/>
    <w:rsid w:val="00107E5E"/>
    <w:rsid w:val="00113A58"/>
    <w:rsid w:val="00113DF0"/>
    <w:rsid w:val="001152FB"/>
    <w:rsid w:val="00116584"/>
    <w:rsid w:val="00117B54"/>
    <w:rsid w:val="001200F0"/>
    <w:rsid w:val="00120E4D"/>
    <w:rsid w:val="001210C2"/>
    <w:rsid w:val="00122519"/>
    <w:rsid w:val="001243F2"/>
    <w:rsid w:val="00125FD8"/>
    <w:rsid w:val="00126A7B"/>
    <w:rsid w:val="00130EC6"/>
    <w:rsid w:val="00134FDB"/>
    <w:rsid w:val="001350D9"/>
    <w:rsid w:val="00136849"/>
    <w:rsid w:val="001372BC"/>
    <w:rsid w:val="0013757B"/>
    <w:rsid w:val="00137BE3"/>
    <w:rsid w:val="00137EAD"/>
    <w:rsid w:val="00140AD2"/>
    <w:rsid w:val="00142118"/>
    <w:rsid w:val="00142127"/>
    <w:rsid w:val="0014328E"/>
    <w:rsid w:val="00144E2A"/>
    <w:rsid w:val="001456AA"/>
    <w:rsid w:val="001468B3"/>
    <w:rsid w:val="00150D35"/>
    <w:rsid w:val="001531C4"/>
    <w:rsid w:val="00155006"/>
    <w:rsid w:val="00155229"/>
    <w:rsid w:val="001557C7"/>
    <w:rsid w:val="00157F1B"/>
    <w:rsid w:val="001604D2"/>
    <w:rsid w:val="0016120E"/>
    <w:rsid w:val="00164FD2"/>
    <w:rsid w:val="0016511B"/>
    <w:rsid w:val="0016703A"/>
    <w:rsid w:val="00170664"/>
    <w:rsid w:val="00177C55"/>
    <w:rsid w:val="001811E9"/>
    <w:rsid w:val="00181210"/>
    <w:rsid w:val="00184F3A"/>
    <w:rsid w:val="00185FC7"/>
    <w:rsid w:val="001869A0"/>
    <w:rsid w:val="00186BF9"/>
    <w:rsid w:val="00191718"/>
    <w:rsid w:val="00191AD0"/>
    <w:rsid w:val="00192718"/>
    <w:rsid w:val="00194214"/>
    <w:rsid w:val="00197010"/>
    <w:rsid w:val="001A0635"/>
    <w:rsid w:val="001A2717"/>
    <w:rsid w:val="001A3B9E"/>
    <w:rsid w:val="001A49D1"/>
    <w:rsid w:val="001A4FE6"/>
    <w:rsid w:val="001A563A"/>
    <w:rsid w:val="001A5AAE"/>
    <w:rsid w:val="001A64B5"/>
    <w:rsid w:val="001A7945"/>
    <w:rsid w:val="001A79A1"/>
    <w:rsid w:val="001B2C52"/>
    <w:rsid w:val="001B3EA0"/>
    <w:rsid w:val="001B4AE3"/>
    <w:rsid w:val="001B5DAB"/>
    <w:rsid w:val="001B73F9"/>
    <w:rsid w:val="001C1DEC"/>
    <w:rsid w:val="001C3246"/>
    <w:rsid w:val="001C44E6"/>
    <w:rsid w:val="001C5898"/>
    <w:rsid w:val="001C5B37"/>
    <w:rsid w:val="001D03C5"/>
    <w:rsid w:val="001D1733"/>
    <w:rsid w:val="001D1DD4"/>
    <w:rsid w:val="001D362A"/>
    <w:rsid w:val="001D5955"/>
    <w:rsid w:val="001E0CB9"/>
    <w:rsid w:val="001F3BF2"/>
    <w:rsid w:val="001F5A43"/>
    <w:rsid w:val="001F5BC4"/>
    <w:rsid w:val="001F6CE4"/>
    <w:rsid w:val="001F6D4C"/>
    <w:rsid w:val="001F7CC4"/>
    <w:rsid w:val="00201E32"/>
    <w:rsid w:val="002021C0"/>
    <w:rsid w:val="002023CC"/>
    <w:rsid w:val="00204233"/>
    <w:rsid w:val="00204CAC"/>
    <w:rsid w:val="00206784"/>
    <w:rsid w:val="00207C16"/>
    <w:rsid w:val="002102F9"/>
    <w:rsid w:val="00210A04"/>
    <w:rsid w:val="00214289"/>
    <w:rsid w:val="002159FB"/>
    <w:rsid w:val="00220193"/>
    <w:rsid w:val="0022087F"/>
    <w:rsid w:val="00221ABB"/>
    <w:rsid w:val="00221D2B"/>
    <w:rsid w:val="00221D7E"/>
    <w:rsid w:val="002233F5"/>
    <w:rsid w:val="00225321"/>
    <w:rsid w:val="00225414"/>
    <w:rsid w:val="002258D2"/>
    <w:rsid w:val="00226831"/>
    <w:rsid w:val="00230567"/>
    <w:rsid w:val="0023064B"/>
    <w:rsid w:val="00233E41"/>
    <w:rsid w:val="00235592"/>
    <w:rsid w:val="00235879"/>
    <w:rsid w:val="00235A48"/>
    <w:rsid w:val="0023748D"/>
    <w:rsid w:val="002378DF"/>
    <w:rsid w:val="00244452"/>
    <w:rsid w:val="0024619F"/>
    <w:rsid w:val="0024705B"/>
    <w:rsid w:val="00247397"/>
    <w:rsid w:val="00250074"/>
    <w:rsid w:val="0025155A"/>
    <w:rsid w:val="002517D8"/>
    <w:rsid w:val="0025795A"/>
    <w:rsid w:val="00257B5E"/>
    <w:rsid w:val="00260C16"/>
    <w:rsid w:val="002657AB"/>
    <w:rsid w:val="002711CC"/>
    <w:rsid w:val="002742E7"/>
    <w:rsid w:val="002746EA"/>
    <w:rsid w:val="00275591"/>
    <w:rsid w:val="00280886"/>
    <w:rsid w:val="00282749"/>
    <w:rsid w:val="00284012"/>
    <w:rsid w:val="00286956"/>
    <w:rsid w:val="00286A96"/>
    <w:rsid w:val="002933BD"/>
    <w:rsid w:val="00294BAB"/>
    <w:rsid w:val="00296192"/>
    <w:rsid w:val="002976BD"/>
    <w:rsid w:val="002A05A5"/>
    <w:rsid w:val="002A1FB6"/>
    <w:rsid w:val="002A303C"/>
    <w:rsid w:val="002A4312"/>
    <w:rsid w:val="002A4B1C"/>
    <w:rsid w:val="002A5748"/>
    <w:rsid w:val="002A5D7B"/>
    <w:rsid w:val="002A64DA"/>
    <w:rsid w:val="002A7A0C"/>
    <w:rsid w:val="002B276E"/>
    <w:rsid w:val="002B3684"/>
    <w:rsid w:val="002B382A"/>
    <w:rsid w:val="002B6196"/>
    <w:rsid w:val="002B687E"/>
    <w:rsid w:val="002B6E04"/>
    <w:rsid w:val="002B7759"/>
    <w:rsid w:val="002C0CB7"/>
    <w:rsid w:val="002C3B2B"/>
    <w:rsid w:val="002C49E3"/>
    <w:rsid w:val="002C6599"/>
    <w:rsid w:val="002D09BA"/>
    <w:rsid w:val="002D0A8F"/>
    <w:rsid w:val="002D0BA4"/>
    <w:rsid w:val="002D3916"/>
    <w:rsid w:val="002D3FF7"/>
    <w:rsid w:val="002D6059"/>
    <w:rsid w:val="002E2D06"/>
    <w:rsid w:val="002E313B"/>
    <w:rsid w:val="002E5D14"/>
    <w:rsid w:val="002E5DF5"/>
    <w:rsid w:val="002E7E9B"/>
    <w:rsid w:val="002F0711"/>
    <w:rsid w:val="002F0935"/>
    <w:rsid w:val="002F0AA6"/>
    <w:rsid w:val="002F22B1"/>
    <w:rsid w:val="002F388D"/>
    <w:rsid w:val="002F55CE"/>
    <w:rsid w:val="002F57F1"/>
    <w:rsid w:val="002F6974"/>
    <w:rsid w:val="0030071B"/>
    <w:rsid w:val="00301BB3"/>
    <w:rsid w:val="0030296F"/>
    <w:rsid w:val="003045C3"/>
    <w:rsid w:val="00305935"/>
    <w:rsid w:val="00305A4F"/>
    <w:rsid w:val="00306D0C"/>
    <w:rsid w:val="00307DD5"/>
    <w:rsid w:val="003107B5"/>
    <w:rsid w:val="003123CF"/>
    <w:rsid w:val="0031368E"/>
    <w:rsid w:val="00314910"/>
    <w:rsid w:val="00316E9D"/>
    <w:rsid w:val="00321D85"/>
    <w:rsid w:val="0032361E"/>
    <w:rsid w:val="00326C52"/>
    <w:rsid w:val="00326FD4"/>
    <w:rsid w:val="00327BED"/>
    <w:rsid w:val="00330B8A"/>
    <w:rsid w:val="00331C41"/>
    <w:rsid w:val="0033223B"/>
    <w:rsid w:val="00332932"/>
    <w:rsid w:val="00333136"/>
    <w:rsid w:val="00333384"/>
    <w:rsid w:val="00335386"/>
    <w:rsid w:val="0033558C"/>
    <w:rsid w:val="00335BDC"/>
    <w:rsid w:val="003371B7"/>
    <w:rsid w:val="00340CE7"/>
    <w:rsid w:val="00342F5F"/>
    <w:rsid w:val="00345CC3"/>
    <w:rsid w:val="00347DA4"/>
    <w:rsid w:val="00350E31"/>
    <w:rsid w:val="0035214C"/>
    <w:rsid w:val="0035441A"/>
    <w:rsid w:val="00354744"/>
    <w:rsid w:val="00355985"/>
    <w:rsid w:val="00355AE6"/>
    <w:rsid w:val="00361994"/>
    <w:rsid w:val="00361BA6"/>
    <w:rsid w:val="00361F32"/>
    <w:rsid w:val="003625F7"/>
    <w:rsid w:val="003636FB"/>
    <w:rsid w:val="00370485"/>
    <w:rsid w:val="0037104A"/>
    <w:rsid w:val="003714BC"/>
    <w:rsid w:val="00372EFE"/>
    <w:rsid w:val="003737EB"/>
    <w:rsid w:val="00373BB9"/>
    <w:rsid w:val="00373F27"/>
    <w:rsid w:val="00377FD6"/>
    <w:rsid w:val="00390DAF"/>
    <w:rsid w:val="00390FAE"/>
    <w:rsid w:val="00395B77"/>
    <w:rsid w:val="003A2D30"/>
    <w:rsid w:val="003A4BA3"/>
    <w:rsid w:val="003A5EE5"/>
    <w:rsid w:val="003B32FD"/>
    <w:rsid w:val="003C168A"/>
    <w:rsid w:val="003C2B58"/>
    <w:rsid w:val="003C4CE7"/>
    <w:rsid w:val="003C4E09"/>
    <w:rsid w:val="003C5E74"/>
    <w:rsid w:val="003C7B57"/>
    <w:rsid w:val="003D0806"/>
    <w:rsid w:val="003D1A71"/>
    <w:rsid w:val="003D258F"/>
    <w:rsid w:val="003D35AD"/>
    <w:rsid w:val="003D5339"/>
    <w:rsid w:val="003D5922"/>
    <w:rsid w:val="003D6000"/>
    <w:rsid w:val="003D610A"/>
    <w:rsid w:val="003E0CA0"/>
    <w:rsid w:val="003E2569"/>
    <w:rsid w:val="003E3136"/>
    <w:rsid w:val="003E36A4"/>
    <w:rsid w:val="003E45AB"/>
    <w:rsid w:val="003F07D2"/>
    <w:rsid w:val="003F1F83"/>
    <w:rsid w:val="003F2595"/>
    <w:rsid w:val="003F39F0"/>
    <w:rsid w:val="003F571A"/>
    <w:rsid w:val="003F76BC"/>
    <w:rsid w:val="003F7B24"/>
    <w:rsid w:val="003F7E90"/>
    <w:rsid w:val="004006E3"/>
    <w:rsid w:val="00402D75"/>
    <w:rsid w:val="00403B91"/>
    <w:rsid w:val="00406854"/>
    <w:rsid w:val="004145D5"/>
    <w:rsid w:val="004168AC"/>
    <w:rsid w:val="00416ACA"/>
    <w:rsid w:val="00417D45"/>
    <w:rsid w:val="0042057E"/>
    <w:rsid w:val="004208BB"/>
    <w:rsid w:val="00422C26"/>
    <w:rsid w:val="0042424C"/>
    <w:rsid w:val="004263B7"/>
    <w:rsid w:val="00426999"/>
    <w:rsid w:val="004316DE"/>
    <w:rsid w:val="00431FB9"/>
    <w:rsid w:val="0043237A"/>
    <w:rsid w:val="00432E54"/>
    <w:rsid w:val="00433E65"/>
    <w:rsid w:val="00437938"/>
    <w:rsid w:val="004410E8"/>
    <w:rsid w:val="004417CA"/>
    <w:rsid w:val="004439CF"/>
    <w:rsid w:val="00444664"/>
    <w:rsid w:val="0044543B"/>
    <w:rsid w:val="004507B9"/>
    <w:rsid w:val="00453CE9"/>
    <w:rsid w:val="00453E4D"/>
    <w:rsid w:val="00454266"/>
    <w:rsid w:val="004547A0"/>
    <w:rsid w:val="0045789B"/>
    <w:rsid w:val="00461320"/>
    <w:rsid w:val="00464736"/>
    <w:rsid w:val="004650A9"/>
    <w:rsid w:val="00465FC8"/>
    <w:rsid w:val="00466023"/>
    <w:rsid w:val="004662A5"/>
    <w:rsid w:val="00466371"/>
    <w:rsid w:val="0046740A"/>
    <w:rsid w:val="0047034C"/>
    <w:rsid w:val="00471130"/>
    <w:rsid w:val="00472633"/>
    <w:rsid w:val="00473F85"/>
    <w:rsid w:val="00476DF8"/>
    <w:rsid w:val="004777A7"/>
    <w:rsid w:val="004800B2"/>
    <w:rsid w:val="004828B4"/>
    <w:rsid w:val="0048343A"/>
    <w:rsid w:val="004841A8"/>
    <w:rsid w:val="004847EA"/>
    <w:rsid w:val="00485294"/>
    <w:rsid w:val="00485CB9"/>
    <w:rsid w:val="00487487"/>
    <w:rsid w:val="00491CA5"/>
    <w:rsid w:val="004950E3"/>
    <w:rsid w:val="00497885"/>
    <w:rsid w:val="004A20B9"/>
    <w:rsid w:val="004A3180"/>
    <w:rsid w:val="004A3DBD"/>
    <w:rsid w:val="004A462A"/>
    <w:rsid w:val="004A4CE8"/>
    <w:rsid w:val="004A5983"/>
    <w:rsid w:val="004A7CD8"/>
    <w:rsid w:val="004B0762"/>
    <w:rsid w:val="004B166F"/>
    <w:rsid w:val="004B2FAD"/>
    <w:rsid w:val="004B3BF6"/>
    <w:rsid w:val="004B74E0"/>
    <w:rsid w:val="004C0A1C"/>
    <w:rsid w:val="004C2593"/>
    <w:rsid w:val="004C35CC"/>
    <w:rsid w:val="004C3B48"/>
    <w:rsid w:val="004C3FC6"/>
    <w:rsid w:val="004D072B"/>
    <w:rsid w:val="004D2CA6"/>
    <w:rsid w:val="004D390C"/>
    <w:rsid w:val="004D4877"/>
    <w:rsid w:val="004D4B0C"/>
    <w:rsid w:val="004D4E0A"/>
    <w:rsid w:val="004D6ACB"/>
    <w:rsid w:val="004D72F8"/>
    <w:rsid w:val="004E11C0"/>
    <w:rsid w:val="004E1A2B"/>
    <w:rsid w:val="004E1FE9"/>
    <w:rsid w:val="004E4524"/>
    <w:rsid w:val="004E5A1E"/>
    <w:rsid w:val="004F10D9"/>
    <w:rsid w:val="004F38E6"/>
    <w:rsid w:val="004F42D4"/>
    <w:rsid w:val="004F4BE7"/>
    <w:rsid w:val="004F5042"/>
    <w:rsid w:val="00500153"/>
    <w:rsid w:val="00500854"/>
    <w:rsid w:val="00502732"/>
    <w:rsid w:val="00502766"/>
    <w:rsid w:val="00502AF9"/>
    <w:rsid w:val="00505116"/>
    <w:rsid w:val="005147DF"/>
    <w:rsid w:val="00515C4E"/>
    <w:rsid w:val="00517D58"/>
    <w:rsid w:val="00521292"/>
    <w:rsid w:val="00522DE0"/>
    <w:rsid w:val="00523C00"/>
    <w:rsid w:val="0052427E"/>
    <w:rsid w:val="005246E0"/>
    <w:rsid w:val="00525300"/>
    <w:rsid w:val="00525958"/>
    <w:rsid w:val="00526786"/>
    <w:rsid w:val="00530A31"/>
    <w:rsid w:val="00532472"/>
    <w:rsid w:val="00535883"/>
    <w:rsid w:val="00536CE2"/>
    <w:rsid w:val="00540704"/>
    <w:rsid w:val="00540C85"/>
    <w:rsid w:val="00541468"/>
    <w:rsid w:val="005433D4"/>
    <w:rsid w:val="00546F92"/>
    <w:rsid w:val="00547FD5"/>
    <w:rsid w:val="00550D6B"/>
    <w:rsid w:val="0055139F"/>
    <w:rsid w:val="00551A46"/>
    <w:rsid w:val="00553312"/>
    <w:rsid w:val="00555636"/>
    <w:rsid w:val="00555F74"/>
    <w:rsid w:val="00556A66"/>
    <w:rsid w:val="00557881"/>
    <w:rsid w:val="00560A63"/>
    <w:rsid w:val="00560E6B"/>
    <w:rsid w:val="00562298"/>
    <w:rsid w:val="0056491D"/>
    <w:rsid w:val="005665D0"/>
    <w:rsid w:val="0057025D"/>
    <w:rsid w:val="0057043C"/>
    <w:rsid w:val="00570C64"/>
    <w:rsid w:val="005713D5"/>
    <w:rsid w:val="005717EA"/>
    <w:rsid w:val="00571C15"/>
    <w:rsid w:val="00571C1E"/>
    <w:rsid w:val="00571F17"/>
    <w:rsid w:val="00574334"/>
    <w:rsid w:val="00575EC8"/>
    <w:rsid w:val="00576727"/>
    <w:rsid w:val="005774F3"/>
    <w:rsid w:val="005778BF"/>
    <w:rsid w:val="0058160A"/>
    <w:rsid w:val="005825C1"/>
    <w:rsid w:val="005833FB"/>
    <w:rsid w:val="00583A14"/>
    <w:rsid w:val="00584475"/>
    <w:rsid w:val="00585E3A"/>
    <w:rsid w:val="005902D2"/>
    <w:rsid w:val="005911D6"/>
    <w:rsid w:val="00591709"/>
    <w:rsid w:val="0059303E"/>
    <w:rsid w:val="00595943"/>
    <w:rsid w:val="00597267"/>
    <w:rsid w:val="00597790"/>
    <w:rsid w:val="005A159F"/>
    <w:rsid w:val="005A2D5B"/>
    <w:rsid w:val="005A3104"/>
    <w:rsid w:val="005A3387"/>
    <w:rsid w:val="005A33D3"/>
    <w:rsid w:val="005A4ED9"/>
    <w:rsid w:val="005A5081"/>
    <w:rsid w:val="005B0BAE"/>
    <w:rsid w:val="005B11F3"/>
    <w:rsid w:val="005B358F"/>
    <w:rsid w:val="005B37D5"/>
    <w:rsid w:val="005B6DDB"/>
    <w:rsid w:val="005C11D2"/>
    <w:rsid w:val="005C2493"/>
    <w:rsid w:val="005C3F36"/>
    <w:rsid w:val="005C48FA"/>
    <w:rsid w:val="005C49F1"/>
    <w:rsid w:val="005C71D5"/>
    <w:rsid w:val="005C7ECF"/>
    <w:rsid w:val="005D389A"/>
    <w:rsid w:val="005D5155"/>
    <w:rsid w:val="005D5768"/>
    <w:rsid w:val="005D5CDE"/>
    <w:rsid w:val="005D6851"/>
    <w:rsid w:val="005D7AE8"/>
    <w:rsid w:val="005E0786"/>
    <w:rsid w:val="005E11A0"/>
    <w:rsid w:val="005E2C78"/>
    <w:rsid w:val="005F0FCB"/>
    <w:rsid w:val="005F10AE"/>
    <w:rsid w:val="005F1AA4"/>
    <w:rsid w:val="005F1E57"/>
    <w:rsid w:val="005F234D"/>
    <w:rsid w:val="005F3BAA"/>
    <w:rsid w:val="005F4032"/>
    <w:rsid w:val="005F4F47"/>
    <w:rsid w:val="005F5B19"/>
    <w:rsid w:val="006003C3"/>
    <w:rsid w:val="00602069"/>
    <w:rsid w:val="00602729"/>
    <w:rsid w:val="00602C89"/>
    <w:rsid w:val="00602EDA"/>
    <w:rsid w:val="00607BCF"/>
    <w:rsid w:val="006107DD"/>
    <w:rsid w:val="00615942"/>
    <w:rsid w:val="006159B4"/>
    <w:rsid w:val="00622457"/>
    <w:rsid w:val="006238ED"/>
    <w:rsid w:val="00626852"/>
    <w:rsid w:val="00627155"/>
    <w:rsid w:val="00627A07"/>
    <w:rsid w:val="00631D0C"/>
    <w:rsid w:val="00631E8D"/>
    <w:rsid w:val="00633665"/>
    <w:rsid w:val="006340B2"/>
    <w:rsid w:val="00636D47"/>
    <w:rsid w:val="00636E2D"/>
    <w:rsid w:val="006375FD"/>
    <w:rsid w:val="00637CA1"/>
    <w:rsid w:val="00637D57"/>
    <w:rsid w:val="00640033"/>
    <w:rsid w:val="00641AD1"/>
    <w:rsid w:val="00641BF9"/>
    <w:rsid w:val="0064335F"/>
    <w:rsid w:val="006456ED"/>
    <w:rsid w:val="00646131"/>
    <w:rsid w:val="00647E6F"/>
    <w:rsid w:val="00650469"/>
    <w:rsid w:val="00650B09"/>
    <w:rsid w:val="006512E1"/>
    <w:rsid w:val="00651C48"/>
    <w:rsid w:val="00651CCF"/>
    <w:rsid w:val="00657204"/>
    <w:rsid w:val="006603D4"/>
    <w:rsid w:val="00664753"/>
    <w:rsid w:val="00664C6E"/>
    <w:rsid w:val="006655B3"/>
    <w:rsid w:val="0066659D"/>
    <w:rsid w:val="0067056F"/>
    <w:rsid w:val="00671766"/>
    <w:rsid w:val="006738BB"/>
    <w:rsid w:val="00675E35"/>
    <w:rsid w:val="00681AC0"/>
    <w:rsid w:val="00684A1B"/>
    <w:rsid w:val="00687F88"/>
    <w:rsid w:val="0069315A"/>
    <w:rsid w:val="00694C3D"/>
    <w:rsid w:val="006A039A"/>
    <w:rsid w:val="006A154B"/>
    <w:rsid w:val="006A32C4"/>
    <w:rsid w:val="006A4760"/>
    <w:rsid w:val="006A4D82"/>
    <w:rsid w:val="006A5754"/>
    <w:rsid w:val="006A58FE"/>
    <w:rsid w:val="006C3E41"/>
    <w:rsid w:val="006C4C7E"/>
    <w:rsid w:val="006C7394"/>
    <w:rsid w:val="006D0287"/>
    <w:rsid w:val="006D1D1F"/>
    <w:rsid w:val="006D243A"/>
    <w:rsid w:val="006D2898"/>
    <w:rsid w:val="006D2A31"/>
    <w:rsid w:val="006D490E"/>
    <w:rsid w:val="006D6874"/>
    <w:rsid w:val="006E10D0"/>
    <w:rsid w:val="006E556A"/>
    <w:rsid w:val="006E55B4"/>
    <w:rsid w:val="006E5F00"/>
    <w:rsid w:val="006E604B"/>
    <w:rsid w:val="006E6FA6"/>
    <w:rsid w:val="006F0683"/>
    <w:rsid w:val="006F41C7"/>
    <w:rsid w:val="006F5607"/>
    <w:rsid w:val="006F5FD1"/>
    <w:rsid w:val="006F6160"/>
    <w:rsid w:val="006F75F6"/>
    <w:rsid w:val="007014E9"/>
    <w:rsid w:val="00701871"/>
    <w:rsid w:val="007019FF"/>
    <w:rsid w:val="0070263B"/>
    <w:rsid w:val="00704067"/>
    <w:rsid w:val="00704755"/>
    <w:rsid w:val="00704D97"/>
    <w:rsid w:val="00710445"/>
    <w:rsid w:val="007142BA"/>
    <w:rsid w:val="00716303"/>
    <w:rsid w:val="00716F9B"/>
    <w:rsid w:val="00722733"/>
    <w:rsid w:val="00722BF8"/>
    <w:rsid w:val="00722F9A"/>
    <w:rsid w:val="007247C1"/>
    <w:rsid w:val="00726798"/>
    <w:rsid w:val="00726D48"/>
    <w:rsid w:val="007305C9"/>
    <w:rsid w:val="00730EEB"/>
    <w:rsid w:val="00731B79"/>
    <w:rsid w:val="007326D8"/>
    <w:rsid w:val="00733976"/>
    <w:rsid w:val="007353BB"/>
    <w:rsid w:val="0073582E"/>
    <w:rsid w:val="00735EBB"/>
    <w:rsid w:val="00736553"/>
    <w:rsid w:val="00736D49"/>
    <w:rsid w:val="00747C82"/>
    <w:rsid w:val="00747F3E"/>
    <w:rsid w:val="00750AC5"/>
    <w:rsid w:val="007512B8"/>
    <w:rsid w:val="007514F2"/>
    <w:rsid w:val="00751C48"/>
    <w:rsid w:val="0075531B"/>
    <w:rsid w:val="00755D77"/>
    <w:rsid w:val="007570E5"/>
    <w:rsid w:val="00757DA0"/>
    <w:rsid w:val="00760D55"/>
    <w:rsid w:val="00763369"/>
    <w:rsid w:val="00765154"/>
    <w:rsid w:val="00772EF1"/>
    <w:rsid w:val="0077581E"/>
    <w:rsid w:val="00776156"/>
    <w:rsid w:val="00781BFE"/>
    <w:rsid w:val="0078676A"/>
    <w:rsid w:val="00793675"/>
    <w:rsid w:val="007950EF"/>
    <w:rsid w:val="007951E8"/>
    <w:rsid w:val="00795B90"/>
    <w:rsid w:val="00796211"/>
    <w:rsid w:val="007A12E9"/>
    <w:rsid w:val="007A18CE"/>
    <w:rsid w:val="007A3CD5"/>
    <w:rsid w:val="007A4BA9"/>
    <w:rsid w:val="007A51C0"/>
    <w:rsid w:val="007A53A9"/>
    <w:rsid w:val="007B0A89"/>
    <w:rsid w:val="007B0B50"/>
    <w:rsid w:val="007B3AB1"/>
    <w:rsid w:val="007B3E03"/>
    <w:rsid w:val="007B40EA"/>
    <w:rsid w:val="007B4C93"/>
    <w:rsid w:val="007B4EC5"/>
    <w:rsid w:val="007B62B0"/>
    <w:rsid w:val="007B7CBB"/>
    <w:rsid w:val="007C0EC3"/>
    <w:rsid w:val="007C23C3"/>
    <w:rsid w:val="007C2463"/>
    <w:rsid w:val="007C4215"/>
    <w:rsid w:val="007C5262"/>
    <w:rsid w:val="007C561B"/>
    <w:rsid w:val="007C699F"/>
    <w:rsid w:val="007C73E1"/>
    <w:rsid w:val="007D4070"/>
    <w:rsid w:val="007D40AB"/>
    <w:rsid w:val="007D5B4D"/>
    <w:rsid w:val="007E0134"/>
    <w:rsid w:val="007E0520"/>
    <w:rsid w:val="007E19A8"/>
    <w:rsid w:val="007E333B"/>
    <w:rsid w:val="007E346C"/>
    <w:rsid w:val="007E41A2"/>
    <w:rsid w:val="007E6B36"/>
    <w:rsid w:val="007E73E4"/>
    <w:rsid w:val="007E77A5"/>
    <w:rsid w:val="007F0CE1"/>
    <w:rsid w:val="007F107D"/>
    <w:rsid w:val="007F1CCB"/>
    <w:rsid w:val="007F3046"/>
    <w:rsid w:val="007F3FC0"/>
    <w:rsid w:val="007F4108"/>
    <w:rsid w:val="007F6A5F"/>
    <w:rsid w:val="007F7884"/>
    <w:rsid w:val="007F7C7D"/>
    <w:rsid w:val="00800320"/>
    <w:rsid w:val="00800CFB"/>
    <w:rsid w:val="00800E76"/>
    <w:rsid w:val="00802DE6"/>
    <w:rsid w:val="00803967"/>
    <w:rsid w:val="008042A6"/>
    <w:rsid w:val="00804972"/>
    <w:rsid w:val="008070A6"/>
    <w:rsid w:val="008076B1"/>
    <w:rsid w:val="008125F5"/>
    <w:rsid w:val="00813593"/>
    <w:rsid w:val="00813613"/>
    <w:rsid w:val="00814A78"/>
    <w:rsid w:val="008157E7"/>
    <w:rsid w:val="008157F4"/>
    <w:rsid w:val="00816FAD"/>
    <w:rsid w:val="008171FF"/>
    <w:rsid w:val="00820945"/>
    <w:rsid w:val="00820AE2"/>
    <w:rsid w:val="0082145C"/>
    <w:rsid w:val="00822941"/>
    <w:rsid w:val="0083095E"/>
    <w:rsid w:val="0083235F"/>
    <w:rsid w:val="0083481F"/>
    <w:rsid w:val="00834B4A"/>
    <w:rsid w:val="008354C6"/>
    <w:rsid w:val="0083585E"/>
    <w:rsid w:val="0083754B"/>
    <w:rsid w:val="00837649"/>
    <w:rsid w:val="008427AF"/>
    <w:rsid w:val="00843758"/>
    <w:rsid w:val="008455E2"/>
    <w:rsid w:val="00845D34"/>
    <w:rsid w:val="00845E57"/>
    <w:rsid w:val="00845F4B"/>
    <w:rsid w:val="008461FB"/>
    <w:rsid w:val="0084622E"/>
    <w:rsid w:val="00854B41"/>
    <w:rsid w:val="0086092C"/>
    <w:rsid w:val="008616A4"/>
    <w:rsid w:val="008637BB"/>
    <w:rsid w:val="00863888"/>
    <w:rsid w:val="00864F1C"/>
    <w:rsid w:val="00865B4D"/>
    <w:rsid w:val="00865DAF"/>
    <w:rsid w:val="008671A8"/>
    <w:rsid w:val="00871BC1"/>
    <w:rsid w:val="0087692E"/>
    <w:rsid w:val="0087696A"/>
    <w:rsid w:val="0087735A"/>
    <w:rsid w:val="008776FE"/>
    <w:rsid w:val="0088099F"/>
    <w:rsid w:val="008817E7"/>
    <w:rsid w:val="00881B65"/>
    <w:rsid w:val="008828D7"/>
    <w:rsid w:val="00883A8F"/>
    <w:rsid w:val="00884298"/>
    <w:rsid w:val="00886C53"/>
    <w:rsid w:val="00887E7F"/>
    <w:rsid w:val="00893818"/>
    <w:rsid w:val="00893C43"/>
    <w:rsid w:val="008979A3"/>
    <w:rsid w:val="00897AAB"/>
    <w:rsid w:val="008A2D4C"/>
    <w:rsid w:val="008A4508"/>
    <w:rsid w:val="008A6FEB"/>
    <w:rsid w:val="008A7777"/>
    <w:rsid w:val="008B0335"/>
    <w:rsid w:val="008B0C0F"/>
    <w:rsid w:val="008B30F0"/>
    <w:rsid w:val="008B31CF"/>
    <w:rsid w:val="008B3AC1"/>
    <w:rsid w:val="008B4642"/>
    <w:rsid w:val="008B4DF0"/>
    <w:rsid w:val="008B58A8"/>
    <w:rsid w:val="008B6740"/>
    <w:rsid w:val="008C0D9B"/>
    <w:rsid w:val="008C196C"/>
    <w:rsid w:val="008C1C83"/>
    <w:rsid w:val="008C21B0"/>
    <w:rsid w:val="008C2C6F"/>
    <w:rsid w:val="008C3C05"/>
    <w:rsid w:val="008C4F39"/>
    <w:rsid w:val="008D0309"/>
    <w:rsid w:val="008D19F2"/>
    <w:rsid w:val="008D377C"/>
    <w:rsid w:val="008D43C7"/>
    <w:rsid w:val="008D6412"/>
    <w:rsid w:val="008D7822"/>
    <w:rsid w:val="008D7EEF"/>
    <w:rsid w:val="008E0B94"/>
    <w:rsid w:val="008E13D0"/>
    <w:rsid w:val="008E3992"/>
    <w:rsid w:val="008E5421"/>
    <w:rsid w:val="008E755D"/>
    <w:rsid w:val="008E7E37"/>
    <w:rsid w:val="008F057E"/>
    <w:rsid w:val="008F0C53"/>
    <w:rsid w:val="008F1637"/>
    <w:rsid w:val="008F1824"/>
    <w:rsid w:val="008F4193"/>
    <w:rsid w:val="008F46B7"/>
    <w:rsid w:val="008F4B81"/>
    <w:rsid w:val="008F5BD4"/>
    <w:rsid w:val="008F7A2C"/>
    <w:rsid w:val="0090067D"/>
    <w:rsid w:val="0090083F"/>
    <w:rsid w:val="009016C9"/>
    <w:rsid w:val="00901913"/>
    <w:rsid w:val="00906B1F"/>
    <w:rsid w:val="00907AEE"/>
    <w:rsid w:val="009107FC"/>
    <w:rsid w:val="0091157D"/>
    <w:rsid w:val="00914316"/>
    <w:rsid w:val="00915D11"/>
    <w:rsid w:val="00915E6D"/>
    <w:rsid w:val="009221AB"/>
    <w:rsid w:val="00923547"/>
    <w:rsid w:val="00924C54"/>
    <w:rsid w:val="00924DB9"/>
    <w:rsid w:val="009301D8"/>
    <w:rsid w:val="009313EF"/>
    <w:rsid w:val="00931561"/>
    <w:rsid w:val="009317A4"/>
    <w:rsid w:val="009326DF"/>
    <w:rsid w:val="0093333A"/>
    <w:rsid w:val="00935474"/>
    <w:rsid w:val="00942E5E"/>
    <w:rsid w:val="00942FD9"/>
    <w:rsid w:val="00943E1F"/>
    <w:rsid w:val="009456DC"/>
    <w:rsid w:val="00945D64"/>
    <w:rsid w:val="00947C0B"/>
    <w:rsid w:val="00950A97"/>
    <w:rsid w:val="009533BC"/>
    <w:rsid w:val="00954AB2"/>
    <w:rsid w:val="009610B5"/>
    <w:rsid w:val="00961309"/>
    <w:rsid w:val="00962181"/>
    <w:rsid w:val="00962C78"/>
    <w:rsid w:val="00970E2D"/>
    <w:rsid w:val="0097112A"/>
    <w:rsid w:val="00971235"/>
    <w:rsid w:val="00972123"/>
    <w:rsid w:val="00972A47"/>
    <w:rsid w:val="00972C55"/>
    <w:rsid w:val="0097469B"/>
    <w:rsid w:val="00981F87"/>
    <w:rsid w:val="0098268A"/>
    <w:rsid w:val="009826D0"/>
    <w:rsid w:val="00984082"/>
    <w:rsid w:val="00984A11"/>
    <w:rsid w:val="00986D46"/>
    <w:rsid w:val="0099011D"/>
    <w:rsid w:val="00990172"/>
    <w:rsid w:val="0099118A"/>
    <w:rsid w:val="009918DB"/>
    <w:rsid w:val="00991A14"/>
    <w:rsid w:val="00992FA2"/>
    <w:rsid w:val="009933AB"/>
    <w:rsid w:val="009958D0"/>
    <w:rsid w:val="009A0679"/>
    <w:rsid w:val="009A1213"/>
    <w:rsid w:val="009A151D"/>
    <w:rsid w:val="009A1C4C"/>
    <w:rsid w:val="009A1FE6"/>
    <w:rsid w:val="009A3E6B"/>
    <w:rsid w:val="009A58B7"/>
    <w:rsid w:val="009A5DCC"/>
    <w:rsid w:val="009A6194"/>
    <w:rsid w:val="009A6334"/>
    <w:rsid w:val="009A6A11"/>
    <w:rsid w:val="009B1180"/>
    <w:rsid w:val="009B4A00"/>
    <w:rsid w:val="009B5293"/>
    <w:rsid w:val="009B5F59"/>
    <w:rsid w:val="009B63FC"/>
    <w:rsid w:val="009B665E"/>
    <w:rsid w:val="009B6E28"/>
    <w:rsid w:val="009B7BEE"/>
    <w:rsid w:val="009C4B2C"/>
    <w:rsid w:val="009C4D65"/>
    <w:rsid w:val="009C5123"/>
    <w:rsid w:val="009C5F37"/>
    <w:rsid w:val="009C7C8D"/>
    <w:rsid w:val="009D292A"/>
    <w:rsid w:val="009D569F"/>
    <w:rsid w:val="009E0FA7"/>
    <w:rsid w:val="009E0FB3"/>
    <w:rsid w:val="009E23A8"/>
    <w:rsid w:val="009E2A9C"/>
    <w:rsid w:val="009E38C6"/>
    <w:rsid w:val="009E5A26"/>
    <w:rsid w:val="009F0D91"/>
    <w:rsid w:val="009F3607"/>
    <w:rsid w:val="009F7C10"/>
    <w:rsid w:val="009F7F61"/>
    <w:rsid w:val="00A00393"/>
    <w:rsid w:val="00A02ECA"/>
    <w:rsid w:val="00A03EAF"/>
    <w:rsid w:val="00A059DA"/>
    <w:rsid w:val="00A10BA3"/>
    <w:rsid w:val="00A11220"/>
    <w:rsid w:val="00A124B9"/>
    <w:rsid w:val="00A12CFC"/>
    <w:rsid w:val="00A1334D"/>
    <w:rsid w:val="00A143A7"/>
    <w:rsid w:val="00A149D6"/>
    <w:rsid w:val="00A154A7"/>
    <w:rsid w:val="00A15501"/>
    <w:rsid w:val="00A15D34"/>
    <w:rsid w:val="00A16E94"/>
    <w:rsid w:val="00A240EF"/>
    <w:rsid w:val="00A24386"/>
    <w:rsid w:val="00A24BF8"/>
    <w:rsid w:val="00A24C0F"/>
    <w:rsid w:val="00A25862"/>
    <w:rsid w:val="00A27F87"/>
    <w:rsid w:val="00A27F8D"/>
    <w:rsid w:val="00A300AF"/>
    <w:rsid w:val="00A301B4"/>
    <w:rsid w:val="00A31244"/>
    <w:rsid w:val="00A3128E"/>
    <w:rsid w:val="00A3185B"/>
    <w:rsid w:val="00A33C74"/>
    <w:rsid w:val="00A33F59"/>
    <w:rsid w:val="00A35A5E"/>
    <w:rsid w:val="00A36C53"/>
    <w:rsid w:val="00A36ED5"/>
    <w:rsid w:val="00A37A9B"/>
    <w:rsid w:val="00A4023A"/>
    <w:rsid w:val="00A40BFD"/>
    <w:rsid w:val="00A46C10"/>
    <w:rsid w:val="00A46F0D"/>
    <w:rsid w:val="00A512F9"/>
    <w:rsid w:val="00A518F9"/>
    <w:rsid w:val="00A522F7"/>
    <w:rsid w:val="00A52DC4"/>
    <w:rsid w:val="00A547F4"/>
    <w:rsid w:val="00A6000C"/>
    <w:rsid w:val="00A61A72"/>
    <w:rsid w:val="00A64CCE"/>
    <w:rsid w:val="00A65F1E"/>
    <w:rsid w:val="00A66303"/>
    <w:rsid w:val="00A67BD7"/>
    <w:rsid w:val="00A67F35"/>
    <w:rsid w:val="00A73924"/>
    <w:rsid w:val="00A77150"/>
    <w:rsid w:val="00A77602"/>
    <w:rsid w:val="00A777BC"/>
    <w:rsid w:val="00A815F7"/>
    <w:rsid w:val="00A81689"/>
    <w:rsid w:val="00A81AF2"/>
    <w:rsid w:val="00A81C05"/>
    <w:rsid w:val="00A81E01"/>
    <w:rsid w:val="00A852A7"/>
    <w:rsid w:val="00A901BA"/>
    <w:rsid w:val="00A90235"/>
    <w:rsid w:val="00A93016"/>
    <w:rsid w:val="00A93755"/>
    <w:rsid w:val="00A95626"/>
    <w:rsid w:val="00A96271"/>
    <w:rsid w:val="00A96D2E"/>
    <w:rsid w:val="00AA04D7"/>
    <w:rsid w:val="00AA0DE9"/>
    <w:rsid w:val="00AA1643"/>
    <w:rsid w:val="00AA2132"/>
    <w:rsid w:val="00AA51E0"/>
    <w:rsid w:val="00AA650E"/>
    <w:rsid w:val="00AA6D4C"/>
    <w:rsid w:val="00AB3630"/>
    <w:rsid w:val="00AB4821"/>
    <w:rsid w:val="00AC03F7"/>
    <w:rsid w:val="00AC0AC7"/>
    <w:rsid w:val="00AC1979"/>
    <w:rsid w:val="00AC242F"/>
    <w:rsid w:val="00AC2EA4"/>
    <w:rsid w:val="00AC310C"/>
    <w:rsid w:val="00AC3B0B"/>
    <w:rsid w:val="00AC3F8D"/>
    <w:rsid w:val="00AC621B"/>
    <w:rsid w:val="00AC6EC7"/>
    <w:rsid w:val="00AC70EB"/>
    <w:rsid w:val="00AD7A70"/>
    <w:rsid w:val="00AD7ECD"/>
    <w:rsid w:val="00AE2FD5"/>
    <w:rsid w:val="00AE3366"/>
    <w:rsid w:val="00AE6411"/>
    <w:rsid w:val="00AE64F1"/>
    <w:rsid w:val="00AE726F"/>
    <w:rsid w:val="00AF3328"/>
    <w:rsid w:val="00AF54C2"/>
    <w:rsid w:val="00AF686F"/>
    <w:rsid w:val="00B007FF"/>
    <w:rsid w:val="00B04AE9"/>
    <w:rsid w:val="00B0793C"/>
    <w:rsid w:val="00B118A1"/>
    <w:rsid w:val="00B17FDD"/>
    <w:rsid w:val="00B204E0"/>
    <w:rsid w:val="00B23343"/>
    <w:rsid w:val="00B23F71"/>
    <w:rsid w:val="00B2501C"/>
    <w:rsid w:val="00B274E5"/>
    <w:rsid w:val="00B30271"/>
    <w:rsid w:val="00B32BFD"/>
    <w:rsid w:val="00B32E22"/>
    <w:rsid w:val="00B3702B"/>
    <w:rsid w:val="00B412CD"/>
    <w:rsid w:val="00B4474E"/>
    <w:rsid w:val="00B45FCC"/>
    <w:rsid w:val="00B462D1"/>
    <w:rsid w:val="00B463A2"/>
    <w:rsid w:val="00B46BBB"/>
    <w:rsid w:val="00B472DD"/>
    <w:rsid w:val="00B4799A"/>
    <w:rsid w:val="00B505C7"/>
    <w:rsid w:val="00B50D04"/>
    <w:rsid w:val="00B520A1"/>
    <w:rsid w:val="00B555C5"/>
    <w:rsid w:val="00B6113E"/>
    <w:rsid w:val="00B614D9"/>
    <w:rsid w:val="00B620C2"/>
    <w:rsid w:val="00B62E9E"/>
    <w:rsid w:val="00B6327E"/>
    <w:rsid w:val="00B6506C"/>
    <w:rsid w:val="00B6626A"/>
    <w:rsid w:val="00B67F53"/>
    <w:rsid w:val="00B70B49"/>
    <w:rsid w:val="00B71D90"/>
    <w:rsid w:val="00B72749"/>
    <w:rsid w:val="00B73981"/>
    <w:rsid w:val="00B73FB9"/>
    <w:rsid w:val="00B753F9"/>
    <w:rsid w:val="00B80215"/>
    <w:rsid w:val="00B8167D"/>
    <w:rsid w:val="00B82BD4"/>
    <w:rsid w:val="00B82E95"/>
    <w:rsid w:val="00B83B09"/>
    <w:rsid w:val="00B85D0A"/>
    <w:rsid w:val="00B9119D"/>
    <w:rsid w:val="00B9339E"/>
    <w:rsid w:val="00BA074E"/>
    <w:rsid w:val="00BA2E68"/>
    <w:rsid w:val="00BA3200"/>
    <w:rsid w:val="00BA371E"/>
    <w:rsid w:val="00BA4DC2"/>
    <w:rsid w:val="00BB08D3"/>
    <w:rsid w:val="00BB4DB1"/>
    <w:rsid w:val="00BB509C"/>
    <w:rsid w:val="00BB54F5"/>
    <w:rsid w:val="00BB6012"/>
    <w:rsid w:val="00BC1F53"/>
    <w:rsid w:val="00BC2CF2"/>
    <w:rsid w:val="00BC35BE"/>
    <w:rsid w:val="00BC3C92"/>
    <w:rsid w:val="00BC4E77"/>
    <w:rsid w:val="00BC4F6C"/>
    <w:rsid w:val="00BD1EE5"/>
    <w:rsid w:val="00BD2604"/>
    <w:rsid w:val="00BD3B3C"/>
    <w:rsid w:val="00BD4148"/>
    <w:rsid w:val="00BD68B2"/>
    <w:rsid w:val="00BE3E4A"/>
    <w:rsid w:val="00BE4E8D"/>
    <w:rsid w:val="00BE6038"/>
    <w:rsid w:val="00BE7393"/>
    <w:rsid w:val="00BF1D46"/>
    <w:rsid w:val="00BF273D"/>
    <w:rsid w:val="00BF3789"/>
    <w:rsid w:val="00BF44A4"/>
    <w:rsid w:val="00BF6999"/>
    <w:rsid w:val="00C0187B"/>
    <w:rsid w:val="00C0348F"/>
    <w:rsid w:val="00C07081"/>
    <w:rsid w:val="00C07B72"/>
    <w:rsid w:val="00C10995"/>
    <w:rsid w:val="00C13C3E"/>
    <w:rsid w:val="00C14766"/>
    <w:rsid w:val="00C1737C"/>
    <w:rsid w:val="00C1781B"/>
    <w:rsid w:val="00C17B8E"/>
    <w:rsid w:val="00C25849"/>
    <w:rsid w:val="00C25B16"/>
    <w:rsid w:val="00C26C93"/>
    <w:rsid w:val="00C3141E"/>
    <w:rsid w:val="00C31CCC"/>
    <w:rsid w:val="00C3544A"/>
    <w:rsid w:val="00C35D5E"/>
    <w:rsid w:val="00C37CDE"/>
    <w:rsid w:val="00C40233"/>
    <w:rsid w:val="00C440F3"/>
    <w:rsid w:val="00C44105"/>
    <w:rsid w:val="00C455ED"/>
    <w:rsid w:val="00C47C42"/>
    <w:rsid w:val="00C51C7E"/>
    <w:rsid w:val="00C53E45"/>
    <w:rsid w:val="00C550CC"/>
    <w:rsid w:val="00C55757"/>
    <w:rsid w:val="00C56E34"/>
    <w:rsid w:val="00C571D5"/>
    <w:rsid w:val="00C61664"/>
    <w:rsid w:val="00C61B1D"/>
    <w:rsid w:val="00C64FA0"/>
    <w:rsid w:val="00C657D2"/>
    <w:rsid w:val="00C662BA"/>
    <w:rsid w:val="00C675AD"/>
    <w:rsid w:val="00C677B3"/>
    <w:rsid w:val="00C71681"/>
    <w:rsid w:val="00C73E1C"/>
    <w:rsid w:val="00C757CC"/>
    <w:rsid w:val="00C757CD"/>
    <w:rsid w:val="00C77C98"/>
    <w:rsid w:val="00C81800"/>
    <w:rsid w:val="00C8254A"/>
    <w:rsid w:val="00C82DCE"/>
    <w:rsid w:val="00C834C4"/>
    <w:rsid w:val="00C836F9"/>
    <w:rsid w:val="00C8591F"/>
    <w:rsid w:val="00C85EC0"/>
    <w:rsid w:val="00C86675"/>
    <w:rsid w:val="00C86CDE"/>
    <w:rsid w:val="00C87F34"/>
    <w:rsid w:val="00C92DC4"/>
    <w:rsid w:val="00C95364"/>
    <w:rsid w:val="00C9552A"/>
    <w:rsid w:val="00C95B06"/>
    <w:rsid w:val="00C96520"/>
    <w:rsid w:val="00C96563"/>
    <w:rsid w:val="00CA218B"/>
    <w:rsid w:val="00CA4521"/>
    <w:rsid w:val="00CA48E8"/>
    <w:rsid w:val="00CA4F84"/>
    <w:rsid w:val="00CA5802"/>
    <w:rsid w:val="00CA5F75"/>
    <w:rsid w:val="00CA7DC4"/>
    <w:rsid w:val="00CB1444"/>
    <w:rsid w:val="00CB1C45"/>
    <w:rsid w:val="00CB4488"/>
    <w:rsid w:val="00CB6212"/>
    <w:rsid w:val="00CB63C4"/>
    <w:rsid w:val="00CB689D"/>
    <w:rsid w:val="00CB6E5D"/>
    <w:rsid w:val="00CB6FCB"/>
    <w:rsid w:val="00CB7A3E"/>
    <w:rsid w:val="00CC2A8A"/>
    <w:rsid w:val="00CC2B89"/>
    <w:rsid w:val="00CC2CE6"/>
    <w:rsid w:val="00CC37FC"/>
    <w:rsid w:val="00CD0B15"/>
    <w:rsid w:val="00CD0EA1"/>
    <w:rsid w:val="00CD13D8"/>
    <w:rsid w:val="00CD7A96"/>
    <w:rsid w:val="00CE070E"/>
    <w:rsid w:val="00CE07B3"/>
    <w:rsid w:val="00CE2C64"/>
    <w:rsid w:val="00CE436C"/>
    <w:rsid w:val="00CE61F8"/>
    <w:rsid w:val="00CE6A2F"/>
    <w:rsid w:val="00CF08D1"/>
    <w:rsid w:val="00CF1254"/>
    <w:rsid w:val="00CF3C16"/>
    <w:rsid w:val="00CF3CCE"/>
    <w:rsid w:val="00CF518A"/>
    <w:rsid w:val="00CF5EDA"/>
    <w:rsid w:val="00CF6878"/>
    <w:rsid w:val="00CF6B16"/>
    <w:rsid w:val="00CF6C12"/>
    <w:rsid w:val="00D0021C"/>
    <w:rsid w:val="00D008E8"/>
    <w:rsid w:val="00D037CF"/>
    <w:rsid w:val="00D04B27"/>
    <w:rsid w:val="00D072E4"/>
    <w:rsid w:val="00D0777C"/>
    <w:rsid w:val="00D11D7F"/>
    <w:rsid w:val="00D1207A"/>
    <w:rsid w:val="00D1488A"/>
    <w:rsid w:val="00D14FD4"/>
    <w:rsid w:val="00D20040"/>
    <w:rsid w:val="00D236EF"/>
    <w:rsid w:val="00D24C45"/>
    <w:rsid w:val="00D26EF0"/>
    <w:rsid w:val="00D300D3"/>
    <w:rsid w:val="00D301D3"/>
    <w:rsid w:val="00D319BC"/>
    <w:rsid w:val="00D31BF0"/>
    <w:rsid w:val="00D34793"/>
    <w:rsid w:val="00D3512B"/>
    <w:rsid w:val="00D35D71"/>
    <w:rsid w:val="00D37200"/>
    <w:rsid w:val="00D40EC7"/>
    <w:rsid w:val="00D43680"/>
    <w:rsid w:val="00D43F79"/>
    <w:rsid w:val="00D4653C"/>
    <w:rsid w:val="00D47B4B"/>
    <w:rsid w:val="00D47B62"/>
    <w:rsid w:val="00D51826"/>
    <w:rsid w:val="00D537A4"/>
    <w:rsid w:val="00D539D8"/>
    <w:rsid w:val="00D53B16"/>
    <w:rsid w:val="00D55D63"/>
    <w:rsid w:val="00D60F9B"/>
    <w:rsid w:val="00D61264"/>
    <w:rsid w:val="00D61A43"/>
    <w:rsid w:val="00D61FC6"/>
    <w:rsid w:val="00D6255C"/>
    <w:rsid w:val="00D6346A"/>
    <w:rsid w:val="00D73C65"/>
    <w:rsid w:val="00D75377"/>
    <w:rsid w:val="00D76B81"/>
    <w:rsid w:val="00D80F0F"/>
    <w:rsid w:val="00D833A0"/>
    <w:rsid w:val="00D83827"/>
    <w:rsid w:val="00D83E07"/>
    <w:rsid w:val="00D84A68"/>
    <w:rsid w:val="00D84CE1"/>
    <w:rsid w:val="00D866AE"/>
    <w:rsid w:val="00D90804"/>
    <w:rsid w:val="00D91BCA"/>
    <w:rsid w:val="00D96C7F"/>
    <w:rsid w:val="00DA0117"/>
    <w:rsid w:val="00DA01AF"/>
    <w:rsid w:val="00DA09B1"/>
    <w:rsid w:val="00DA1781"/>
    <w:rsid w:val="00DA1ED3"/>
    <w:rsid w:val="00DA3D12"/>
    <w:rsid w:val="00DA5EB6"/>
    <w:rsid w:val="00DA5FC5"/>
    <w:rsid w:val="00DA752D"/>
    <w:rsid w:val="00DB05DD"/>
    <w:rsid w:val="00DB2030"/>
    <w:rsid w:val="00DB2960"/>
    <w:rsid w:val="00DB754B"/>
    <w:rsid w:val="00DB758C"/>
    <w:rsid w:val="00DB7B0C"/>
    <w:rsid w:val="00DB7F33"/>
    <w:rsid w:val="00DB7FBB"/>
    <w:rsid w:val="00DC029E"/>
    <w:rsid w:val="00DC0E2C"/>
    <w:rsid w:val="00DC0F89"/>
    <w:rsid w:val="00DC1E07"/>
    <w:rsid w:val="00DC25F9"/>
    <w:rsid w:val="00DC5850"/>
    <w:rsid w:val="00DD0657"/>
    <w:rsid w:val="00DD0720"/>
    <w:rsid w:val="00DD114A"/>
    <w:rsid w:val="00DD20A5"/>
    <w:rsid w:val="00DD3778"/>
    <w:rsid w:val="00DD464E"/>
    <w:rsid w:val="00DD4AD4"/>
    <w:rsid w:val="00DD6E43"/>
    <w:rsid w:val="00DD75E7"/>
    <w:rsid w:val="00DE0B35"/>
    <w:rsid w:val="00DE11A6"/>
    <w:rsid w:val="00DE52B8"/>
    <w:rsid w:val="00DE5F3A"/>
    <w:rsid w:val="00DE79BC"/>
    <w:rsid w:val="00DE7BB6"/>
    <w:rsid w:val="00DF06BD"/>
    <w:rsid w:val="00DF0D92"/>
    <w:rsid w:val="00DF1001"/>
    <w:rsid w:val="00DF7011"/>
    <w:rsid w:val="00DF7D25"/>
    <w:rsid w:val="00E027E6"/>
    <w:rsid w:val="00E03E37"/>
    <w:rsid w:val="00E04622"/>
    <w:rsid w:val="00E116BD"/>
    <w:rsid w:val="00E13C7A"/>
    <w:rsid w:val="00E1460E"/>
    <w:rsid w:val="00E15CAF"/>
    <w:rsid w:val="00E17376"/>
    <w:rsid w:val="00E2026B"/>
    <w:rsid w:val="00E20642"/>
    <w:rsid w:val="00E23448"/>
    <w:rsid w:val="00E23827"/>
    <w:rsid w:val="00E2404F"/>
    <w:rsid w:val="00E266BE"/>
    <w:rsid w:val="00E2779B"/>
    <w:rsid w:val="00E30432"/>
    <w:rsid w:val="00E312E5"/>
    <w:rsid w:val="00E315EC"/>
    <w:rsid w:val="00E31B73"/>
    <w:rsid w:val="00E34593"/>
    <w:rsid w:val="00E35460"/>
    <w:rsid w:val="00E418BE"/>
    <w:rsid w:val="00E418DF"/>
    <w:rsid w:val="00E42C1D"/>
    <w:rsid w:val="00E42D8E"/>
    <w:rsid w:val="00E43CDC"/>
    <w:rsid w:val="00E44617"/>
    <w:rsid w:val="00E446B3"/>
    <w:rsid w:val="00E46EC8"/>
    <w:rsid w:val="00E511EC"/>
    <w:rsid w:val="00E52183"/>
    <w:rsid w:val="00E528E5"/>
    <w:rsid w:val="00E54630"/>
    <w:rsid w:val="00E546D7"/>
    <w:rsid w:val="00E57889"/>
    <w:rsid w:val="00E61BEA"/>
    <w:rsid w:val="00E6211B"/>
    <w:rsid w:val="00E63E94"/>
    <w:rsid w:val="00E65D62"/>
    <w:rsid w:val="00E73098"/>
    <w:rsid w:val="00E758D9"/>
    <w:rsid w:val="00E773F7"/>
    <w:rsid w:val="00E80122"/>
    <w:rsid w:val="00E822C7"/>
    <w:rsid w:val="00E832C1"/>
    <w:rsid w:val="00E83881"/>
    <w:rsid w:val="00E83F44"/>
    <w:rsid w:val="00E86240"/>
    <w:rsid w:val="00E86F66"/>
    <w:rsid w:val="00E87E6C"/>
    <w:rsid w:val="00E90352"/>
    <w:rsid w:val="00E92F65"/>
    <w:rsid w:val="00E931A5"/>
    <w:rsid w:val="00E934E4"/>
    <w:rsid w:val="00E94B32"/>
    <w:rsid w:val="00E95090"/>
    <w:rsid w:val="00E96B37"/>
    <w:rsid w:val="00EA094C"/>
    <w:rsid w:val="00EA0CD0"/>
    <w:rsid w:val="00EA2908"/>
    <w:rsid w:val="00EA32EF"/>
    <w:rsid w:val="00EA7F42"/>
    <w:rsid w:val="00EB01A5"/>
    <w:rsid w:val="00EB1AA9"/>
    <w:rsid w:val="00EB3992"/>
    <w:rsid w:val="00EB3D4A"/>
    <w:rsid w:val="00EB4B72"/>
    <w:rsid w:val="00EB5717"/>
    <w:rsid w:val="00EB6088"/>
    <w:rsid w:val="00EB79CC"/>
    <w:rsid w:val="00EB7EAC"/>
    <w:rsid w:val="00EC04F2"/>
    <w:rsid w:val="00EC15C7"/>
    <w:rsid w:val="00EC6E21"/>
    <w:rsid w:val="00EC7E94"/>
    <w:rsid w:val="00EC7EF2"/>
    <w:rsid w:val="00ED0913"/>
    <w:rsid w:val="00ED0DD9"/>
    <w:rsid w:val="00ED10DB"/>
    <w:rsid w:val="00ED2AF5"/>
    <w:rsid w:val="00ED55C9"/>
    <w:rsid w:val="00ED5A80"/>
    <w:rsid w:val="00ED60FB"/>
    <w:rsid w:val="00ED6E1E"/>
    <w:rsid w:val="00ED7D9D"/>
    <w:rsid w:val="00EE05A1"/>
    <w:rsid w:val="00EE2FBD"/>
    <w:rsid w:val="00EE7FAC"/>
    <w:rsid w:val="00EF14AD"/>
    <w:rsid w:val="00EF157D"/>
    <w:rsid w:val="00EF25C3"/>
    <w:rsid w:val="00EF2B2D"/>
    <w:rsid w:val="00EF428A"/>
    <w:rsid w:val="00EF4859"/>
    <w:rsid w:val="00EF78C2"/>
    <w:rsid w:val="00EF7909"/>
    <w:rsid w:val="00F00011"/>
    <w:rsid w:val="00F04991"/>
    <w:rsid w:val="00F05B27"/>
    <w:rsid w:val="00F0788D"/>
    <w:rsid w:val="00F105A9"/>
    <w:rsid w:val="00F12A6A"/>
    <w:rsid w:val="00F135CB"/>
    <w:rsid w:val="00F13F91"/>
    <w:rsid w:val="00F14DA5"/>
    <w:rsid w:val="00F15071"/>
    <w:rsid w:val="00F171C4"/>
    <w:rsid w:val="00F172E3"/>
    <w:rsid w:val="00F17B31"/>
    <w:rsid w:val="00F22204"/>
    <w:rsid w:val="00F2286B"/>
    <w:rsid w:val="00F32DB8"/>
    <w:rsid w:val="00F3436E"/>
    <w:rsid w:val="00F360A2"/>
    <w:rsid w:val="00F3641F"/>
    <w:rsid w:val="00F42C5D"/>
    <w:rsid w:val="00F42F22"/>
    <w:rsid w:val="00F51C6B"/>
    <w:rsid w:val="00F52232"/>
    <w:rsid w:val="00F526C9"/>
    <w:rsid w:val="00F54EF1"/>
    <w:rsid w:val="00F55183"/>
    <w:rsid w:val="00F55A06"/>
    <w:rsid w:val="00F56854"/>
    <w:rsid w:val="00F65AB5"/>
    <w:rsid w:val="00F66531"/>
    <w:rsid w:val="00F66BB0"/>
    <w:rsid w:val="00F70355"/>
    <w:rsid w:val="00F712D1"/>
    <w:rsid w:val="00F7146E"/>
    <w:rsid w:val="00F714A1"/>
    <w:rsid w:val="00F717EB"/>
    <w:rsid w:val="00F75BAB"/>
    <w:rsid w:val="00F76ACC"/>
    <w:rsid w:val="00F77616"/>
    <w:rsid w:val="00F77854"/>
    <w:rsid w:val="00F827BA"/>
    <w:rsid w:val="00F8302D"/>
    <w:rsid w:val="00F840F7"/>
    <w:rsid w:val="00F85284"/>
    <w:rsid w:val="00F86ACD"/>
    <w:rsid w:val="00F86F6D"/>
    <w:rsid w:val="00F872A3"/>
    <w:rsid w:val="00F8738B"/>
    <w:rsid w:val="00F925C9"/>
    <w:rsid w:val="00F941E3"/>
    <w:rsid w:val="00F9565A"/>
    <w:rsid w:val="00FA3BBD"/>
    <w:rsid w:val="00FA4708"/>
    <w:rsid w:val="00FB0C17"/>
    <w:rsid w:val="00FB32AE"/>
    <w:rsid w:val="00FB77A8"/>
    <w:rsid w:val="00FC2409"/>
    <w:rsid w:val="00FC3264"/>
    <w:rsid w:val="00FC63AF"/>
    <w:rsid w:val="00FC796B"/>
    <w:rsid w:val="00FC7B32"/>
    <w:rsid w:val="00FD56F7"/>
    <w:rsid w:val="00FD60F7"/>
    <w:rsid w:val="00FE061A"/>
    <w:rsid w:val="00FE16D2"/>
    <w:rsid w:val="00FE1BE4"/>
    <w:rsid w:val="00FE5907"/>
    <w:rsid w:val="00FE774D"/>
    <w:rsid w:val="00FF2AD9"/>
    <w:rsid w:val="00FF30D2"/>
    <w:rsid w:val="00FF36DC"/>
    <w:rsid w:val="00FF3CCE"/>
    <w:rsid w:val="00FF5DA3"/>
    <w:rsid w:val="00FF7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0CFB"/>
    <w:rPr>
      <w:rFonts w:ascii="Arial" w:hAnsi="Arial"/>
      <w:szCs w:val="24"/>
    </w:rPr>
  </w:style>
  <w:style w:type="paragraph" w:styleId="Heading1">
    <w:name w:val="heading 1"/>
    <w:aliases w:val="A Head,H1-Sec.Head"/>
    <w:basedOn w:val="Normal"/>
    <w:next w:val="Normal"/>
    <w:link w:val="Heading1Char"/>
    <w:qFormat/>
    <w:rsid w:val="00800CFB"/>
    <w:pPr>
      <w:keepNext/>
      <w:spacing w:after="360"/>
      <w:jc w:val="center"/>
      <w:outlineLvl w:val="0"/>
    </w:pPr>
    <w:rPr>
      <w:b/>
      <w:bCs/>
      <w:kern w:val="32"/>
      <w:sz w:val="32"/>
      <w:szCs w:val="32"/>
    </w:rPr>
  </w:style>
  <w:style w:type="paragraph" w:styleId="Heading2">
    <w:name w:val="heading 2"/>
    <w:aliases w:val="H2-Sec. Head"/>
    <w:basedOn w:val="Normal"/>
    <w:next w:val="Normal"/>
    <w:qFormat/>
    <w:rsid w:val="00F66BB0"/>
    <w:pPr>
      <w:keepNext/>
      <w:spacing w:after="360"/>
      <w:jc w:val="center"/>
      <w:outlineLvl w:val="1"/>
    </w:pPr>
    <w:rPr>
      <w:b/>
      <w:i/>
      <w:sz w:val="28"/>
    </w:rPr>
  </w:style>
  <w:style w:type="paragraph" w:styleId="Heading3">
    <w:name w:val="heading 3"/>
    <w:aliases w:val="H3-Sec. Head"/>
    <w:basedOn w:val="Normal"/>
    <w:next w:val="Normal"/>
    <w:qFormat/>
    <w:rsid w:val="00800CFB"/>
    <w:pPr>
      <w:keepNext/>
      <w:spacing w:before="240" w:after="60"/>
      <w:outlineLvl w:val="2"/>
    </w:pPr>
    <w:rPr>
      <w:rFonts w:cs="Arial"/>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1"/>
    <w:rsid w:val="00800CFB"/>
    <w:pPr>
      <w:spacing w:before="180"/>
    </w:pPr>
    <w:rPr>
      <w:rFonts w:ascii="Arial" w:hAnsi="Arial"/>
      <w:szCs w:val="24"/>
    </w:rPr>
  </w:style>
  <w:style w:type="paragraph" w:customStyle="1" w:styleId="StdText">
    <w:name w:val="Std Text"/>
    <w:basedOn w:val="Body"/>
    <w:rsid w:val="00F66BB0"/>
    <w:rPr>
      <w:b/>
    </w:rPr>
  </w:style>
  <w:style w:type="paragraph" w:customStyle="1" w:styleId="SectionHead">
    <w:name w:val="Section Head"/>
    <w:basedOn w:val="Heading1"/>
    <w:rsid w:val="00F66BB0"/>
    <w:pPr>
      <w:spacing w:after="240"/>
    </w:pPr>
  </w:style>
  <w:style w:type="paragraph" w:customStyle="1" w:styleId="StdTitle">
    <w:name w:val="Std Title"/>
    <w:basedOn w:val="SectionHead"/>
    <w:rsid w:val="00F66BB0"/>
    <w:pPr>
      <w:tabs>
        <w:tab w:val="right" w:pos="9720"/>
      </w:tabs>
      <w:spacing w:after="0"/>
      <w:jc w:val="left"/>
    </w:pPr>
    <w:rPr>
      <w:sz w:val="28"/>
    </w:rPr>
  </w:style>
  <w:style w:type="paragraph" w:customStyle="1" w:styleId="MainHead">
    <w:name w:val="Main Head"/>
    <w:rsid w:val="00F66BB0"/>
    <w:pPr>
      <w:pBdr>
        <w:bottom w:val="single" w:sz="12" w:space="1" w:color="auto"/>
      </w:pBdr>
      <w:spacing w:before="240"/>
      <w:outlineLvl w:val="2"/>
    </w:pPr>
    <w:rPr>
      <w:rFonts w:ascii="Arial" w:hAnsi="Arial"/>
      <w:b/>
      <w:kern w:val="28"/>
      <w:sz w:val="24"/>
    </w:rPr>
  </w:style>
  <w:style w:type="paragraph" w:customStyle="1" w:styleId="SubHead">
    <w:name w:val="Sub Head"/>
    <w:rsid w:val="00800CFB"/>
    <w:pPr>
      <w:pBdr>
        <w:bottom w:val="single" w:sz="6" w:space="2" w:color="auto"/>
      </w:pBdr>
      <w:spacing w:before="360"/>
    </w:pPr>
    <w:rPr>
      <w:rFonts w:ascii="Arial" w:hAnsi="Arial"/>
      <w:b/>
      <w:sz w:val="22"/>
      <w:szCs w:val="24"/>
    </w:rPr>
  </w:style>
  <w:style w:type="paragraph" w:customStyle="1" w:styleId="Bullet">
    <w:name w:val="Bullet"/>
    <w:link w:val="BulletChar"/>
    <w:rsid w:val="00800CFB"/>
    <w:pPr>
      <w:numPr>
        <w:numId w:val="3"/>
      </w:numPr>
      <w:tabs>
        <w:tab w:val="left" w:pos="576"/>
      </w:tabs>
      <w:spacing w:before="120"/>
      <w:ind w:left="576"/>
    </w:pPr>
    <w:rPr>
      <w:rFonts w:ascii="Arial" w:hAnsi="Arial"/>
      <w:szCs w:val="24"/>
    </w:rPr>
  </w:style>
  <w:style w:type="paragraph" w:customStyle="1" w:styleId="Dash">
    <w:name w:val="Dash"/>
    <w:rsid w:val="00800CFB"/>
    <w:pPr>
      <w:numPr>
        <w:numId w:val="4"/>
      </w:numPr>
      <w:spacing w:before="60"/>
    </w:pPr>
    <w:rPr>
      <w:rFonts w:ascii="Arial" w:hAnsi="Arial"/>
      <w:szCs w:val="24"/>
    </w:rPr>
  </w:style>
  <w:style w:type="paragraph" w:customStyle="1" w:styleId="ProcessBullet">
    <w:name w:val="Process Bullet"/>
    <w:link w:val="ProcessBulletChar"/>
    <w:rsid w:val="00800CFB"/>
    <w:pPr>
      <w:numPr>
        <w:numId w:val="7"/>
      </w:numPr>
      <w:spacing w:before="120"/>
    </w:pPr>
    <w:rPr>
      <w:rFonts w:ascii="Arial" w:hAnsi="Arial"/>
      <w:szCs w:val="24"/>
    </w:rPr>
  </w:style>
  <w:style w:type="paragraph" w:customStyle="1" w:styleId="ProcessDash">
    <w:name w:val="Process Dash"/>
    <w:rsid w:val="00800CFB"/>
    <w:pPr>
      <w:numPr>
        <w:numId w:val="8"/>
      </w:numPr>
      <w:tabs>
        <w:tab w:val="clear" w:pos="432"/>
        <w:tab w:val="left" w:pos="216"/>
      </w:tabs>
      <w:spacing w:before="60"/>
    </w:pPr>
    <w:rPr>
      <w:rFonts w:ascii="Arial" w:hAnsi="Arial"/>
      <w:szCs w:val="24"/>
    </w:rPr>
  </w:style>
  <w:style w:type="paragraph" w:customStyle="1" w:styleId="ScoringGuideline">
    <w:name w:val="Scoring Guideline"/>
    <w:basedOn w:val="Heading1"/>
    <w:rsid w:val="00F66BB0"/>
    <w:pPr>
      <w:spacing w:after="120"/>
    </w:pPr>
    <w:rPr>
      <w:smallCaps/>
    </w:rPr>
  </w:style>
  <w:style w:type="paragraph" w:styleId="Header">
    <w:name w:val="header"/>
    <w:link w:val="HeaderChar"/>
    <w:rsid w:val="00800CFB"/>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800CFB"/>
    <w:pPr>
      <w:pBdr>
        <w:top w:val="single" w:sz="8" w:space="1" w:color="auto"/>
      </w:pBdr>
      <w:tabs>
        <w:tab w:val="right" w:pos="9720"/>
      </w:tabs>
      <w:spacing w:before="240" w:after="120" w:line="260" w:lineRule="exact"/>
    </w:pPr>
    <w:rPr>
      <w:b/>
      <w:szCs w:val="20"/>
    </w:rPr>
  </w:style>
  <w:style w:type="paragraph" w:customStyle="1" w:styleId="StandardTitle">
    <w:name w:val="Standard Title"/>
    <w:basedOn w:val="MainHead"/>
    <w:rsid w:val="00F66BB0"/>
    <w:pPr>
      <w:pBdr>
        <w:bottom w:val="none" w:sz="0" w:space="0" w:color="auto"/>
      </w:pBdr>
      <w:spacing w:before="0"/>
    </w:pPr>
    <w:rPr>
      <w:sz w:val="28"/>
    </w:rPr>
  </w:style>
  <w:style w:type="paragraph" w:customStyle="1" w:styleId="MoreInfo">
    <w:name w:val="More Info"/>
    <w:basedOn w:val="Normal"/>
    <w:rsid w:val="00F66BB0"/>
    <w:pPr>
      <w:spacing w:before="240"/>
      <w:jc w:val="center"/>
    </w:pPr>
    <w:rPr>
      <w:b/>
      <w:i/>
      <w:sz w:val="22"/>
    </w:rPr>
  </w:style>
  <w:style w:type="paragraph" w:customStyle="1" w:styleId="Note">
    <w:name w:val="Note"/>
    <w:link w:val="NoteChar"/>
    <w:rsid w:val="00800CFB"/>
    <w:pPr>
      <w:spacing w:before="120"/>
    </w:pPr>
    <w:rPr>
      <w:rFonts w:ascii="Arial" w:hAnsi="Arial"/>
      <w:i/>
      <w:szCs w:val="24"/>
    </w:rPr>
  </w:style>
  <w:style w:type="paragraph" w:customStyle="1" w:styleId="TableText">
    <w:name w:val="Table Text"/>
    <w:link w:val="TableTextChar"/>
    <w:rsid w:val="00800CFB"/>
    <w:pPr>
      <w:spacing w:before="40" w:after="40" w:line="200" w:lineRule="exact"/>
    </w:pPr>
    <w:rPr>
      <w:rFonts w:ascii="Arial Narrow" w:hAnsi="Arial Narrow"/>
      <w:szCs w:val="19"/>
    </w:rPr>
  </w:style>
  <w:style w:type="paragraph" w:customStyle="1" w:styleId="IndentBullet">
    <w:name w:val="Indent Bullet"/>
    <w:basedOn w:val="Body"/>
    <w:rsid w:val="00F66BB0"/>
    <w:pPr>
      <w:tabs>
        <w:tab w:val="num" w:pos="432"/>
      </w:tabs>
      <w:spacing w:before="20" w:after="20"/>
      <w:ind w:left="993" w:hanging="187"/>
    </w:pPr>
  </w:style>
  <w:style w:type="paragraph" w:customStyle="1" w:styleId="TableHead">
    <w:name w:val="Table Head"/>
    <w:link w:val="TableHeadChar"/>
    <w:rsid w:val="00800CFB"/>
    <w:pPr>
      <w:spacing w:before="40" w:after="40" w:line="200" w:lineRule="exact"/>
      <w:jc w:val="center"/>
    </w:pPr>
    <w:rPr>
      <w:rFonts w:ascii="Arial Narrow" w:hAnsi="Arial Narrow"/>
      <w:b/>
      <w:color w:val="FFFFFF"/>
    </w:rPr>
  </w:style>
  <w:style w:type="paragraph" w:customStyle="1" w:styleId="TableBullet">
    <w:name w:val="Table Bullet"/>
    <w:rsid w:val="00800CFB"/>
    <w:pPr>
      <w:numPr>
        <w:numId w:val="5"/>
      </w:numPr>
      <w:tabs>
        <w:tab w:val="clear" w:pos="216"/>
      </w:tabs>
      <w:spacing w:before="40" w:after="40" w:line="200" w:lineRule="exact"/>
      <w:ind w:left="158" w:hanging="158"/>
    </w:pPr>
    <w:rPr>
      <w:rFonts w:ascii="Arial Narrow" w:hAnsi="Arial Narrow"/>
      <w:szCs w:val="24"/>
    </w:rPr>
  </w:style>
  <w:style w:type="paragraph" w:customStyle="1" w:styleId="ElementNumber">
    <w:name w:val="Element Number"/>
    <w:basedOn w:val="Body"/>
    <w:rsid w:val="00F66BB0"/>
    <w:pPr>
      <w:ind w:left="720" w:hanging="360"/>
    </w:pPr>
    <w:rPr>
      <w:b/>
    </w:rPr>
  </w:style>
  <w:style w:type="paragraph" w:customStyle="1" w:styleId="StdHead">
    <w:name w:val="Std Head"/>
    <w:rsid w:val="00800CFB"/>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MarginHead">
    <w:name w:val="Margin Head"/>
    <w:rsid w:val="00800CFB"/>
    <w:pPr>
      <w:spacing w:before="180"/>
    </w:pPr>
    <w:rPr>
      <w:rFonts w:ascii="Arial" w:hAnsi="Arial"/>
      <w:b/>
      <w:sz w:val="22"/>
      <w:szCs w:val="24"/>
    </w:rPr>
  </w:style>
  <w:style w:type="paragraph" w:customStyle="1" w:styleId="MarginSubhead">
    <w:name w:val="Margin Subhead"/>
    <w:rsid w:val="00800CFB"/>
    <w:pPr>
      <w:spacing w:before="180"/>
      <w:ind w:left="216"/>
    </w:pPr>
    <w:rPr>
      <w:rFonts w:ascii="Arial" w:hAnsi="Arial"/>
      <w:b/>
      <w:szCs w:val="24"/>
    </w:rPr>
  </w:style>
  <w:style w:type="character" w:styleId="Hyperlink">
    <w:name w:val="Hyperlink"/>
    <w:basedOn w:val="DefaultParagraphFont"/>
    <w:rsid w:val="00F66BB0"/>
    <w:rPr>
      <w:color w:val="0000FF"/>
      <w:u w:val="single"/>
    </w:rPr>
  </w:style>
  <w:style w:type="paragraph" w:styleId="TOC1">
    <w:name w:val="toc 1"/>
    <w:basedOn w:val="Normal"/>
    <w:next w:val="Normal"/>
    <w:autoRedefine/>
    <w:semiHidden/>
    <w:rsid w:val="004417CA"/>
    <w:pPr>
      <w:tabs>
        <w:tab w:val="left" w:pos="1620"/>
        <w:tab w:val="right" w:leader="dot" w:pos="9720"/>
      </w:tabs>
      <w:spacing w:after="60"/>
    </w:pPr>
    <w:rPr>
      <w:rFonts w:cs="Arial"/>
      <w:b/>
      <w:noProof/>
      <w:sz w:val="22"/>
    </w:rPr>
  </w:style>
  <w:style w:type="character" w:styleId="FootnoteReference">
    <w:name w:val="footnote reference"/>
    <w:basedOn w:val="DefaultParagraphFont"/>
    <w:semiHidden/>
    <w:rsid w:val="00F66BB0"/>
    <w:rPr>
      <w:vertAlign w:val="superscript"/>
    </w:rPr>
  </w:style>
  <w:style w:type="paragraph" w:styleId="FootnoteText">
    <w:name w:val="footnote text"/>
    <w:aliases w:val="F1"/>
    <w:basedOn w:val="Normal"/>
    <w:semiHidden/>
    <w:rsid w:val="00F66BB0"/>
    <w:pPr>
      <w:spacing w:before="60" w:after="60"/>
    </w:pPr>
    <w:rPr>
      <w:sz w:val="22"/>
    </w:rPr>
  </w:style>
  <w:style w:type="paragraph" w:styleId="BodyTextIndent2">
    <w:name w:val="Body Text Indent 2"/>
    <w:basedOn w:val="Normal"/>
    <w:rsid w:val="00F66BB0"/>
    <w:pPr>
      <w:numPr>
        <w:ilvl w:val="12"/>
      </w:numPr>
      <w:spacing w:before="60" w:after="240" w:line="260" w:lineRule="exact"/>
      <w:ind w:left="360"/>
    </w:pPr>
    <w:rPr>
      <w:snapToGrid w:val="0"/>
      <w:sz w:val="22"/>
    </w:rPr>
  </w:style>
  <w:style w:type="paragraph" w:styleId="TOC2">
    <w:name w:val="toc 2"/>
    <w:basedOn w:val="Normal"/>
    <w:next w:val="Normal"/>
    <w:autoRedefine/>
    <w:semiHidden/>
    <w:rsid w:val="00F66BB0"/>
    <w:pPr>
      <w:tabs>
        <w:tab w:val="left" w:pos="1080"/>
        <w:tab w:val="right" w:leader="dot" w:pos="9360"/>
      </w:tabs>
      <w:ind w:left="720"/>
    </w:pPr>
    <w:rPr>
      <w:sz w:val="22"/>
    </w:rPr>
  </w:style>
  <w:style w:type="paragraph" w:styleId="BalloonText">
    <w:name w:val="Balloon Text"/>
    <w:basedOn w:val="Normal"/>
    <w:semiHidden/>
    <w:rsid w:val="00F66BB0"/>
    <w:rPr>
      <w:rFonts w:ascii="Tahoma" w:hAnsi="Tahoma" w:cs="Tahoma"/>
      <w:sz w:val="16"/>
      <w:szCs w:val="16"/>
    </w:rPr>
  </w:style>
  <w:style w:type="character" w:styleId="PageNumber">
    <w:name w:val="page number"/>
    <w:basedOn w:val="DefaultParagraphFont"/>
    <w:rsid w:val="00F66BB0"/>
  </w:style>
  <w:style w:type="character" w:styleId="FollowedHyperlink">
    <w:name w:val="FollowedHyperlink"/>
    <w:basedOn w:val="DefaultParagraphFont"/>
    <w:rsid w:val="00F66BB0"/>
    <w:rPr>
      <w:color w:val="800080"/>
      <w:u w:val="single"/>
    </w:rPr>
  </w:style>
  <w:style w:type="paragraph" w:customStyle="1" w:styleId="AnswerText">
    <w:name w:val="Answer Text"/>
    <w:basedOn w:val="Normal"/>
    <w:rsid w:val="00F66BB0"/>
    <w:pPr>
      <w:widowControl w:val="0"/>
      <w:tabs>
        <w:tab w:val="left" w:pos="994"/>
        <w:tab w:val="left" w:pos="1627"/>
        <w:tab w:val="num" w:pos="1800"/>
        <w:tab w:val="left" w:pos="2074"/>
      </w:tabs>
      <w:ind w:left="1800" w:hanging="360"/>
    </w:pPr>
    <w:rPr>
      <w:sz w:val="24"/>
    </w:rPr>
  </w:style>
  <w:style w:type="paragraph" w:customStyle="1" w:styleId="Question">
    <w:name w:val="Question"/>
    <w:basedOn w:val="Normal"/>
    <w:rsid w:val="00F66BB0"/>
    <w:pPr>
      <w:widowControl w:val="0"/>
      <w:tabs>
        <w:tab w:val="left" w:pos="547"/>
      </w:tabs>
      <w:spacing w:before="240" w:after="120"/>
      <w:ind w:left="547" w:hanging="547"/>
    </w:pPr>
    <w:rPr>
      <w:b/>
      <w:sz w:val="24"/>
    </w:rPr>
  </w:style>
  <w:style w:type="paragraph" w:customStyle="1" w:styleId="QuestionText">
    <w:name w:val="Question Text"/>
    <w:basedOn w:val="Question"/>
    <w:rsid w:val="00F66BB0"/>
    <w:pPr>
      <w:numPr>
        <w:numId w:val="1"/>
      </w:numPr>
      <w:tabs>
        <w:tab w:val="clear" w:pos="432"/>
      </w:tabs>
      <w:spacing w:before="120" w:after="0"/>
      <w:ind w:left="0" w:firstLine="0"/>
    </w:pPr>
  </w:style>
  <w:style w:type="paragraph" w:customStyle="1" w:styleId="ColumnHead">
    <w:name w:val="Column Head"/>
    <w:basedOn w:val="Normal"/>
    <w:rsid w:val="00F66BB0"/>
    <w:pPr>
      <w:pBdr>
        <w:bottom w:val="single" w:sz="12" w:space="1" w:color="auto"/>
      </w:pBdr>
      <w:jc w:val="center"/>
    </w:pPr>
    <w:rPr>
      <w:b/>
      <w:sz w:val="26"/>
    </w:rPr>
  </w:style>
  <w:style w:type="paragraph" w:customStyle="1" w:styleId="StyleProcessBulletBefore5pt">
    <w:name w:val="Style Process Bullet + Before:  5 pt"/>
    <w:basedOn w:val="ProcessBullet"/>
    <w:rsid w:val="00F66BB0"/>
    <w:pPr>
      <w:tabs>
        <w:tab w:val="left" w:pos="216"/>
      </w:tabs>
      <w:spacing w:before="100"/>
    </w:pPr>
  </w:style>
  <w:style w:type="paragraph" w:customStyle="1" w:styleId="TableDash">
    <w:name w:val="Table Dash"/>
    <w:rsid w:val="00800CFB"/>
    <w:pPr>
      <w:numPr>
        <w:numId w:val="6"/>
      </w:numPr>
      <w:tabs>
        <w:tab w:val="clear" w:pos="432"/>
      </w:tabs>
      <w:ind w:left="374" w:hanging="158"/>
    </w:pPr>
    <w:rPr>
      <w:rFonts w:ascii="Arial Narrow" w:hAnsi="Arial Narrow"/>
      <w:szCs w:val="24"/>
    </w:rPr>
  </w:style>
  <w:style w:type="paragraph" w:customStyle="1" w:styleId="StyleTableBullet11">
    <w:name w:val="Style Table Bullet + 11"/>
    <w:basedOn w:val="TableBullet"/>
    <w:rsid w:val="00F66BB0"/>
    <w:pPr>
      <w:numPr>
        <w:numId w:val="0"/>
      </w:numPr>
      <w:spacing w:line="220" w:lineRule="exact"/>
    </w:pPr>
    <w:rPr>
      <w:sz w:val="22"/>
    </w:rPr>
  </w:style>
  <w:style w:type="character" w:styleId="CommentReference">
    <w:name w:val="annotation reference"/>
    <w:basedOn w:val="DefaultParagraphFont"/>
    <w:semiHidden/>
    <w:rsid w:val="00F66BB0"/>
    <w:rPr>
      <w:sz w:val="16"/>
      <w:szCs w:val="16"/>
    </w:rPr>
  </w:style>
  <w:style w:type="paragraph" w:styleId="CommentText">
    <w:name w:val="annotation text"/>
    <w:basedOn w:val="Normal"/>
    <w:semiHidden/>
    <w:rsid w:val="00F66BB0"/>
    <w:rPr>
      <w:szCs w:val="20"/>
    </w:rPr>
  </w:style>
  <w:style w:type="paragraph" w:styleId="CommentSubject">
    <w:name w:val="annotation subject"/>
    <w:basedOn w:val="CommentText"/>
    <w:next w:val="CommentText"/>
    <w:semiHidden/>
    <w:rsid w:val="00F66BB0"/>
    <w:rPr>
      <w:b/>
      <w:bCs/>
    </w:rPr>
  </w:style>
  <w:style w:type="character" w:customStyle="1" w:styleId="StyleMarginSubheadItalicChar">
    <w:name w:val="Style Margin Subhead + Italic Char"/>
    <w:basedOn w:val="DefaultParagraphFont"/>
    <w:rsid w:val="00F66BB0"/>
    <w:rPr>
      <w:rFonts w:ascii="Arial" w:hAnsi="Arial"/>
      <w:b/>
      <w:bCs/>
      <w:i/>
      <w:iCs/>
      <w:noProof w:val="0"/>
      <w:sz w:val="22"/>
      <w:lang w:val="en-US" w:eastAsia="en-US" w:bidi="ar-SA"/>
    </w:rPr>
  </w:style>
  <w:style w:type="character" w:customStyle="1" w:styleId="BulletChar">
    <w:name w:val="Bullet Char"/>
    <w:basedOn w:val="DefaultParagraphFont"/>
    <w:link w:val="Bullet"/>
    <w:rsid w:val="00164FD2"/>
    <w:rPr>
      <w:rFonts w:ascii="Arial" w:hAnsi="Arial"/>
      <w:szCs w:val="24"/>
    </w:rPr>
  </w:style>
  <w:style w:type="character" w:customStyle="1" w:styleId="BodyChar1">
    <w:name w:val="Body Char1"/>
    <w:basedOn w:val="DefaultParagraphFont"/>
    <w:link w:val="Body"/>
    <w:rsid w:val="005825C1"/>
    <w:rPr>
      <w:rFonts w:ascii="Arial" w:hAnsi="Arial"/>
      <w:szCs w:val="24"/>
    </w:rPr>
  </w:style>
  <w:style w:type="table" w:styleId="TableGrid">
    <w:name w:val="Table Grid"/>
    <w:basedOn w:val="TableNormal"/>
    <w:rsid w:val="001032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cessBulletChar">
    <w:name w:val="Process Bullet Char"/>
    <w:basedOn w:val="DefaultParagraphFont"/>
    <w:link w:val="ProcessBullet"/>
    <w:rsid w:val="0010328E"/>
    <w:rPr>
      <w:rFonts w:ascii="Arial" w:hAnsi="Arial"/>
      <w:szCs w:val="24"/>
    </w:rPr>
  </w:style>
  <w:style w:type="character" w:customStyle="1" w:styleId="TableTextChar">
    <w:name w:val="Table Text Char"/>
    <w:basedOn w:val="DefaultParagraphFont"/>
    <w:link w:val="TableText"/>
    <w:rsid w:val="002A5748"/>
    <w:rPr>
      <w:rFonts w:ascii="Arial Narrow" w:hAnsi="Arial Narrow"/>
      <w:szCs w:val="19"/>
    </w:rPr>
  </w:style>
  <w:style w:type="paragraph" w:customStyle="1" w:styleId="body0">
    <w:name w:val="body0"/>
    <w:basedOn w:val="Normal"/>
    <w:rsid w:val="005D5CDE"/>
    <w:pPr>
      <w:spacing w:before="180"/>
    </w:pPr>
    <w:rPr>
      <w:rFonts w:cs="Arial"/>
      <w:szCs w:val="20"/>
    </w:rPr>
  </w:style>
  <w:style w:type="paragraph" w:styleId="NormalWeb">
    <w:name w:val="Normal (Web)"/>
    <w:basedOn w:val="Normal"/>
    <w:rsid w:val="0032361E"/>
    <w:pPr>
      <w:spacing w:before="100" w:beforeAutospacing="1" w:after="100" w:afterAutospacing="1"/>
    </w:pPr>
  </w:style>
  <w:style w:type="paragraph" w:customStyle="1" w:styleId="Bullet-1">
    <w:name w:val="Bullet-1"/>
    <w:basedOn w:val="Bullet"/>
    <w:rsid w:val="00E80122"/>
    <w:pPr>
      <w:tabs>
        <w:tab w:val="num" w:pos="576"/>
      </w:tabs>
      <w:ind w:left="936"/>
    </w:pPr>
  </w:style>
  <w:style w:type="paragraph" w:customStyle="1" w:styleId="DRPDash">
    <w:name w:val="DRP Dash"/>
    <w:basedOn w:val="Normal"/>
    <w:rsid w:val="002D6059"/>
    <w:pPr>
      <w:numPr>
        <w:numId w:val="10"/>
      </w:numPr>
    </w:pPr>
  </w:style>
  <w:style w:type="character" w:customStyle="1" w:styleId="BodyChar">
    <w:name w:val="Body Char"/>
    <w:basedOn w:val="DefaultParagraphFont"/>
    <w:rsid w:val="00641BF9"/>
    <w:rPr>
      <w:rFonts w:ascii="Arial" w:hAnsi="Arial"/>
      <w:szCs w:val="24"/>
      <w:lang w:val="en-US" w:eastAsia="en-US" w:bidi="ar-SA"/>
    </w:rPr>
  </w:style>
  <w:style w:type="character" w:customStyle="1" w:styleId="TableHeadChar">
    <w:name w:val="Table Head Char"/>
    <w:basedOn w:val="DefaultParagraphFont"/>
    <w:link w:val="TableHead"/>
    <w:rsid w:val="00E86F66"/>
    <w:rPr>
      <w:rFonts w:ascii="Arial Narrow" w:hAnsi="Arial Narrow"/>
      <w:b/>
      <w:color w:val="FFFFFF"/>
    </w:rPr>
  </w:style>
  <w:style w:type="character" w:customStyle="1" w:styleId="NoteChar">
    <w:name w:val="Note Char"/>
    <w:basedOn w:val="DefaultParagraphFont"/>
    <w:link w:val="Note"/>
    <w:rsid w:val="00E86F66"/>
    <w:rPr>
      <w:rFonts w:ascii="Arial" w:hAnsi="Arial"/>
      <w:i/>
      <w:szCs w:val="24"/>
    </w:rPr>
  </w:style>
  <w:style w:type="paragraph" w:styleId="Revision">
    <w:name w:val="Revision"/>
    <w:hidden/>
    <w:uiPriority w:val="99"/>
    <w:semiHidden/>
    <w:rsid w:val="000838F1"/>
    <w:rPr>
      <w:rFonts w:ascii="Arial" w:hAnsi="Arial"/>
      <w:szCs w:val="24"/>
    </w:rPr>
  </w:style>
  <w:style w:type="paragraph" w:customStyle="1" w:styleId="Breakpage">
    <w:name w:val="Break page"/>
    <w:basedOn w:val="Body"/>
    <w:qFormat/>
    <w:rsid w:val="00800CFB"/>
    <w:pPr>
      <w:spacing w:before="0"/>
      <w:jc w:val="right"/>
    </w:pPr>
    <w:rPr>
      <w:b/>
      <w:sz w:val="48"/>
    </w:rPr>
  </w:style>
  <w:style w:type="character" w:customStyle="1" w:styleId="Heading1Char">
    <w:name w:val="Heading 1 Char"/>
    <w:aliases w:val="A Head Char,H1-Sec.Head Char"/>
    <w:basedOn w:val="DefaultParagraphFont"/>
    <w:link w:val="Heading1"/>
    <w:rsid w:val="00800CFB"/>
    <w:rPr>
      <w:rFonts w:ascii="Arial" w:hAnsi="Arial"/>
      <w:b/>
      <w:bCs/>
      <w:kern w:val="32"/>
      <w:sz w:val="32"/>
      <w:szCs w:val="32"/>
    </w:rPr>
  </w:style>
  <w:style w:type="character" w:customStyle="1" w:styleId="HeaderChar">
    <w:name w:val="Header Char"/>
    <w:basedOn w:val="DefaultParagraphFont"/>
    <w:link w:val="Header"/>
    <w:rsid w:val="0097112A"/>
    <w:rPr>
      <w:rFonts w:ascii="Arial" w:hAnsi="Arial"/>
      <w:b/>
      <w:i/>
      <w:szCs w:val="24"/>
    </w:rPr>
  </w:style>
  <w:style w:type="paragraph" w:customStyle="1" w:styleId="Memo">
    <w:name w:val="Memo"/>
    <w:basedOn w:val="Body"/>
    <w:rsid w:val="00800CFB"/>
    <w:rPr>
      <w:rFonts w:ascii="Times New Roman" w:hAnsi="Times New Roman"/>
      <w:sz w:val="24"/>
    </w:rPr>
  </w:style>
  <w:style w:type="paragraph" w:customStyle="1" w:styleId="Letter">
    <w:name w:val="Letter"/>
    <w:qFormat/>
    <w:rsid w:val="00602C89"/>
    <w:pPr>
      <w:spacing w:before="18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1311117">
      <w:bodyDiv w:val="1"/>
      <w:marLeft w:val="0"/>
      <w:marRight w:val="0"/>
      <w:marTop w:val="0"/>
      <w:marBottom w:val="0"/>
      <w:divBdr>
        <w:top w:val="none" w:sz="0" w:space="0" w:color="auto"/>
        <w:left w:val="none" w:sz="0" w:space="0" w:color="auto"/>
        <w:bottom w:val="none" w:sz="0" w:space="0" w:color="auto"/>
        <w:right w:val="none" w:sz="0" w:space="0" w:color="auto"/>
      </w:divBdr>
    </w:div>
    <w:div w:id="1206722394">
      <w:bodyDiv w:val="1"/>
      <w:marLeft w:val="0"/>
      <w:marRight w:val="0"/>
      <w:marTop w:val="0"/>
      <w:marBottom w:val="0"/>
      <w:divBdr>
        <w:top w:val="none" w:sz="0" w:space="0" w:color="auto"/>
        <w:left w:val="none" w:sz="0" w:space="0" w:color="auto"/>
        <w:bottom w:val="none" w:sz="0" w:space="0" w:color="auto"/>
        <w:right w:val="none" w:sz="0" w:space="0" w:color="auto"/>
      </w:divBdr>
      <w:divsChild>
        <w:div w:id="907693660">
          <w:marLeft w:val="0"/>
          <w:marRight w:val="0"/>
          <w:marTop w:val="0"/>
          <w:marBottom w:val="0"/>
          <w:divBdr>
            <w:top w:val="none" w:sz="0" w:space="0" w:color="auto"/>
            <w:left w:val="none" w:sz="0" w:space="0" w:color="auto"/>
            <w:bottom w:val="none" w:sz="0" w:space="0" w:color="auto"/>
            <w:right w:val="none" w:sz="0" w:space="0" w:color="auto"/>
          </w:divBdr>
          <w:divsChild>
            <w:div w:id="1084455976">
              <w:marLeft w:val="84"/>
              <w:marRight w:val="84"/>
              <w:marTop w:val="84"/>
              <w:marBottom w:val="84"/>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footer" Target="footer10.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header" Target="header24.xml"/><Relationship Id="rId63" Type="http://schemas.openxmlformats.org/officeDocument/2006/relationships/footer" Target="footer21.xml"/><Relationship Id="rId68" Type="http://schemas.openxmlformats.org/officeDocument/2006/relationships/header" Target="header31.xml"/><Relationship Id="rId76" Type="http://schemas.openxmlformats.org/officeDocument/2006/relationships/footer" Target="footer26.xml"/><Relationship Id="rId7" Type="http://schemas.openxmlformats.org/officeDocument/2006/relationships/settings" Target="settings.xml"/><Relationship Id="rId71" Type="http://schemas.openxmlformats.org/officeDocument/2006/relationships/header" Target="header33.xml"/><Relationship Id="rId2" Type="http://schemas.openxmlformats.org/officeDocument/2006/relationships/customXml" Target="../customXml/item2.xml"/><Relationship Id="rId16" Type="http://schemas.openxmlformats.org/officeDocument/2006/relationships/image" Target="media/image2.emf"/><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hyperlink" Target="http://www.ncqa.org/pcs" TargetMode="External"/><Relationship Id="rId40" Type="http://schemas.openxmlformats.org/officeDocument/2006/relationships/footer" Target="footer12.xml"/><Relationship Id="rId45" Type="http://schemas.openxmlformats.org/officeDocument/2006/relationships/header" Target="header18.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header" Target="header35.xm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eader" Target="header27.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1.xml"/><Relationship Id="rId44" Type="http://schemas.openxmlformats.org/officeDocument/2006/relationships/header" Target="header17.xml"/><Relationship Id="rId52" Type="http://schemas.openxmlformats.org/officeDocument/2006/relationships/header" Target="header22.xml"/><Relationship Id="rId60" Type="http://schemas.openxmlformats.org/officeDocument/2006/relationships/hyperlink" Target="mailto:audit@ncqa.org" TargetMode="External"/><Relationship Id="rId65" Type="http://schemas.openxmlformats.org/officeDocument/2006/relationships/header" Target="header29.xml"/><Relationship Id="rId73" Type="http://schemas.openxmlformats.org/officeDocument/2006/relationships/footer" Target="footer24.xml"/><Relationship Id="rId78" Type="http://schemas.openxmlformats.org/officeDocument/2006/relationships/header" Target="header37.xml"/><Relationship Id="rId81"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3.xml"/><Relationship Id="rId43" Type="http://schemas.openxmlformats.org/officeDocument/2006/relationships/footer" Target="footer14.xml"/><Relationship Id="rId48" Type="http://schemas.openxmlformats.org/officeDocument/2006/relationships/header" Target="header20.xml"/><Relationship Id="rId56" Type="http://schemas.openxmlformats.org/officeDocument/2006/relationships/header" Target="header25.xml"/><Relationship Id="rId64" Type="http://schemas.openxmlformats.org/officeDocument/2006/relationships/hyperlink" Target="mailto:CHCA@ncqa.org" TargetMode="External"/><Relationship Id="rId69" Type="http://schemas.openxmlformats.org/officeDocument/2006/relationships/header" Target="header32.xml"/><Relationship Id="rId77" Type="http://schemas.openxmlformats.org/officeDocument/2006/relationships/header" Target="header36.xml"/><Relationship Id="rId8" Type="http://schemas.openxmlformats.org/officeDocument/2006/relationships/webSettings" Target="webSettings.xml"/><Relationship Id="rId51" Type="http://schemas.openxmlformats.org/officeDocument/2006/relationships/footer" Target="footer17.xml"/><Relationship Id="rId72" Type="http://schemas.openxmlformats.org/officeDocument/2006/relationships/header" Target="header34.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2.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footer" Target="footer20.xml"/><Relationship Id="rId67" Type="http://schemas.openxmlformats.org/officeDocument/2006/relationships/footer" Target="footer22.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footer" Target="footer18.xml"/><Relationship Id="rId62" Type="http://schemas.openxmlformats.org/officeDocument/2006/relationships/header" Target="header28.xml"/><Relationship Id="rId70" Type="http://schemas.openxmlformats.org/officeDocument/2006/relationships/footer" Target="footer23.xml"/><Relationship Id="rId75"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FB6B28ABDB5A4786FC2FA37372CA3C" ma:contentTypeVersion="0" ma:contentTypeDescription="Create a new document." ma:contentTypeScope="" ma:versionID="a1da67541638af7e2d576425b1a159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89593-81F4-4689-9055-3721D8C08957}">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AE5249FC-4C0C-488A-9B98-8CA17EE05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69724D7-106D-4EEA-87B4-14063AFCC128}">
  <ds:schemaRefs>
    <ds:schemaRef ds:uri="http://schemas.microsoft.com/sharepoint/v3/contenttype/forms"/>
  </ds:schemaRefs>
</ds:datastoreItem>
</file>

<file path=customXml/itemProps4.xml><?xml version="1.0" encoding="utf-8"?>
<ds:datastoreItem xmlns:ds="http://schemas.openxmlformats.org/officeDocument/2006/customXml" ds:itemID="{FE129BF6-8967-4123-A8A7-B704B6E7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12877</Words>
  <Characters>76464</Characters>
  <Application>Microsoft Office Word</Application>
  <DocSecurity>2</DocSecurity>
  <Lines>637</Lines>
  <Paragraphs>178</Paragraphs>
  <ScaleCrop>false</ScaleCrop>
  <HeadingPairs>
    <vt:vector size="2" baseType="variant">
      <vt:variant>
        <vt:lpstr>Title</vt:lpstr>
      </vt:variant>
      <vt:variant>
        <vt:i4>1</vt:i4>
      </vt:variant>
    </vt:vector>
  </HeadingPairs>
  <TitlesOfParts>
    <vt:vector size="1" baseType="lpstr">
      <vt:lpstr>V O L U M E 5</vt:lpstr>
    </vt:vector>
  </TitlesOfParts>
  <Company>NCQA</Company>
  <LinksUpToDate>false</LinksUpToDate>
  <CharactersWithSpaces>89163</CharactersWithSpaces>
  <SharedDoc>false</SharedDoc>
  <HLinks>
    <vt:vector size="18" baseType="variant">
      <vt:variant>
        <vt:i4>5243003</vt:i4>
      </vt:variant>
      <vt:variant>
        <vt:i4>6</vt:i4>
      </vt:variant>
      <vt:variant>
        <vt:i4>0</vt:i4>
      </vt:variant>
      <vt:variant>
        <vt:i4>5</vt:i4>
      </vt:variant>
      <vt:variant>
        <vt:lpwstr>mailto:audit@ncqa.org</vt:lpwstr>
      </vt:variant>
      <vt:variant>
        <vt:lpwstr/>
      </vt:variant>
      <vt:variant>
        <vt:i4>2359338</vt:i4>
      </vt:variant>
      <vt:variant>
        <vt:i4>3</vt:i4>
      </vt:variant>
      <vt:variant>
        <vt:i4>0</vt:i4>
      </vt:variant>
      <vt:variant>
        <vt:i4>5</vt:i4>
      </vt:variant>
      <vt:variant>
        <vt:lpwstr>http://www.ncqa.org/pcs</vt:lpwstr>
      </vt:variant>
      <vt:variant>
        <vt:lpwstr/>
      </vt:variant>
      <vt:variant>
        <vt:i4>2359338</vt:i4>
      </vt:variant>
      <vt:variant>
        <vt:i4>0</vt:i4>
      </vt:variant>
      <vt:variant>
        <vt:i4>0</vt:i4>
      </vt:variant>
      <vt:variant>
        <vt:i4>5</vt:i4>
      </vt:variant>
      <vt:variant>
        <vt:lpwstr>http://www.ncqa.org/pcs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O L U M E 5</dc:title>
  <dc:creator>Lacourci</dc:creator>
  <cp:lastModifiedBy>Judy Lacourciere</cp:lastModifiedBy>
  <cp:revision>4</cp:revision>
  <cp:lastPrinted>2010-10-21T15:32:00Z</cp:lastPrinted>
  <dcterms:created xsi:type="dcterms:W3CDTF">2012-10-11T15:00:00Z</dcterms:created>
  <dcterms:modified xsi:type="dcterms:W3CDTF">2012-10-11T15:10:00Z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1356949756</vt:i4>
  </property>
  <property fmtid="{D5CDD505-2E9C-101B-9397-08002B2CF9AE}" pid="4" name="ContentTypeId">
    <vt:lpwstr>0x010100BAFB6B28ABDB5A4786FC2FA37372CA3C</vt:lpwstr>
  </property>
</Properties>
</file>